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5"/>
        <w:framePr w:h="7066" w:hRule="exact" w:x="1470" w:y="6522" w:anchorLock="0"/>
        <w:rPr>
          <w:rFonts w:hint="eastAsia"/>
          <w:color w:val="auto"/>
          <w:szCs w:val="52"/>
          <w:lang w:eastAsia="zh-CN"/>
        </w:rPr>
      </w:pPr>
      <w:r>
        <w:rPr>
          <w:rFonts w:hint="eastAsia"/>
          <w:color w:val="auto"/>
          <w:szCs w:val="52"/>
          <w:lang w:eastAsia="zh-CN"/>
        </w:rPr>
        <w:t>明绿香型白酒</w:t>
      </w:r>
    </w:p>
    <w:p>
      <w:pPr>
        <w:pStyle w:val="55"/>
        <w:framePr w:h="7066" w:hRule="exact" w:x="1470" w:y="6522" w:anchorLock="0"/>
        <w:rPr>
          <w:rFonts w:hint="eastAsia"/>
          <w:color w:val="auto"/>
          <w:sz w:val="28"/>
          <w:szCs w:val="28"/>
          <w:lang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Minglv-flavour Chinese Spirits</w:t>
      </w:r>
    </w:p>
    <w:p>
      <w:pPr>
        <w:pStyle w:val="56"/>
        <w:framePr w:h="7066" w:hRule="exact" w:x="1470" w:y="6522" w:anchorLock="0"/>
        <w:jc w:val="both"/>
        <w:rPr>
          <w:rFonts w:ascii="黑体" w:eastAsia="黑体"/>
          <w:color w:val="auto"/>
          <w:sz w:val="52"/>
          <w:szCs w:val="20"/>
        </w:rPr>
      </w:pPr>
    </w:p>
    <w:p>
      <w:pPr>
        <w:pStyle w:val="63"/>
        <w:rPr>
          <w:color w:val="auto"/>
        </w:rPr>
      </w:pPr>
      <w:r>
        <w:rPr>
          <w:rFonts w:ascii="黑体"/>
          <w:color w:val="auto"/>
        </w:rPr>
        <w:t>201</w:t>
      </w:r>
      <w:r>
        <w:rPr>
          <w:rFonts w:hint="eastAsia" w:ascii="黑体"/>
          <w:color w:val="auto"/>
          <w:lang w:val="en-US" w:eastAsia="zh-CN"/>
        </w:rPr>
        <w:t>9</w:t>
      </w:r>
      <w:r>
        <w:rPr>
          <w:rFonts w:ascii="黑体"/>
          <w:color w:val="auto"/>
        </w:rPr>
        <w:t>-</w:t>
      </w:r>
      <w:r>
        <w:rPr>
          <w:rFonts w:hint="eastAsia" w:ascii="黑体"/>
          <w:color w:val="auto"/>
          <w:lang w:val="en-US" w:eastAsia="zh-CN"/>
        </w:rPr>
        <w:t>03</w:t>
      </w:r>
      <w:r>
        <w:rPr>
          <w:rFonts w:ascii="黑体"/>
          <w:color w:val="auto"/>
        </w:rPr>
        <w:t>-</w:t>
      </w:r>
      <w:r>
        <w:rPr>
          <w:rFonts w:hint="eastAsia" w:ascii="黑体"/>
          <w:color w:val="auto"/>
          <w:lang w:val="en-US" w:eastAsia="zh-CN"/>
        </w:rPr>
        <w:t>05</w:t>
      </w:r>
      <w:r>
        <w:rPr>
          <w:rFonts w:hint="eastAsia"/>
          <w:color w:val="auto"/>
        </w:rPr>
        <w:t>发布</w: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58240" behindDoc="0" locked="1" layoutInCell="1" allowOverlap="1">
                <wp:simplePos x="0" y="0"/>
                <wp:positionH relativeFrom="column">
                  <wp:posOffset>151765</wp:posOffset>
                </wp:positionH>
                <wp:positionV relativeFrom="page">
                  <wp:posOffset>-115785265</wp:posOffset>
                </wp:positionV>
                <wp:extent cx="6120130" cy="0"/>
                <wp:effectExtent l="0" t="0" r="0" b="0"/>
                <wp:wrapNone/>
                <wp:docPr id="2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11.95pt;margin-top:-9116.95pt;height:0pt;width:481.9pt;mso-position-vertical-relative:page;z-index:251658240;mso-width-relative:page;mso-height-relative:page;" filled="f" stroked="t" coordsize="21600,21600" o:gfxdata="UEsDBAoAAAAAAIdO4kAAAAAAAAAAAAAAAAAEAAAAZHJzL1BLAwQUAAAACACHTuJAJjBZ8NcAAAAQ&#10;AQAADwAAAGRycy9kb3ducmV2LnhtbE2PPU/DMBCGdyT+g3VILFVrJ5FoGuJ0ALKx0IJYr/GRRMTn&#10;NHY/4NfjTmW7j0fvPVeuz3YQR5p871hDslAgiBtnem41vG/reQ7CB2SDg2PS8EMe1tXtTYmFcSd+&#10;o+MmtCKGsC9QQxfCWEjpm44s+oUbiePuy00WQ2ynVpoJTzHcDjJV6kFa7Dle6HCkp46a783BavD1&#10;B+3r31kzU59Z6yjdP7++oNb3d4l6BBHoHK4wXPSjOlTRaecObLwYNKTZKpIa5kmeZpc6Mqt8uQSx&#10;uw5lVcr/j1R/UEsDBBQAAAAIAIdO4kBKjeKSzQEAAI0DAAAOAAAAZHJzL2Uyb0RvYy54bWytUztu&#10;GzEQ7QP4DgT7aCUlNpKFVi4sO42RCIhzgBE/uwT4A4fWSmfxNVKlyXF8jQwpWU7ixgiighpyhm/e&#10;e5xdXO6cZVuV0ATf8dlkypnyIkjj+45/u7t5+4EzzOAl2OBVx/cK+eXy7M1ijK2ahyFYqRIjEI/t&#10;GDs+5BzbpkExKAc4CVF5SuqQHGTapr6RCUZCd7aZT6cXzRiSjCkIhUinq0OSLyu+1krkL1qjysx2&#10;nLjluqa6bsraLBfQ9gniYMSRBvwDCwfGU9MT1AoysPtkXkA5I1LAoPNEBNcErY1QVQOpmU3/UvN1&#10;gKiqFjIH48km/H+w4vN2nZiRHZ9z5sHREz0+fH/88ZO9L96MEVsqufLrdNxhXKcidKeTK/8kge2q&#10;n/uTn2qXmaDDixmJeke2i6dc83wxJsyfVHCsBB23xhep0ML2FjM1o9KnknJsPRs7/vF8fk5wQJOi&#10;LWQKXSTu6Pt6F4M18sZYW25g6jdXNrEtlLevvyKJcP8oK01WgMOhrqYOUzEokNdesryP5Iqn8eWF&#10;glOSM6to2ktEgNBmMPY1ldTaemJQXD34WKJNkHt6g/uYTD+QE7PKsmTozSvf43yWofp9X5Gev6Ll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CYwWfDXAAAAEAEAAA8AAAAAAAAAAQAgAAAAIgAAAGRy&#10;cy9kb3ducmV2LnhtbFBLAQIUABQAAAAIAIdO4kBKjeKSzQEAAI0DAAAOAAAAAAAAAAEAIAAAACY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57216" behindDoc="0" locked="1" layoutInCell="1" allowOverlap="1">
                <wp:simplePos x="0" y="0"/>
                <wp:positionH relativeFrom="column">
                  <wp:posOffset>-635</wp:posOffset>
                </wp:positionH>
                <wp:positionV relativeFrom="page">
                  <wp:posOffset>9251950</wp:posOffset>
                </wp:positionV>
                <wp:extent cx="612013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0.05pt;margin-top:728.5pt;height:0pt;width:481.9pt;mso-position-vertical-relative:page;z-index:251657216;mso-width-relative:page;mso-height-relative:page;" filled="f" stroked="t" coordsize="21600,21600" o:gfxdata="UEsDBAoAAAAAAIdO4kAAAAAAAAAAAAAAAAAEAAAAZHJzL1BLAwQUAAAACACHTuJAJYdrPNYAAAAL&#10;AQAADwAAAGRycy9kb3ducmV2LnhtbE2PPU/DMBCGdyT+g3VILFVrp4UWQpwOQDaWllas1+RIIuJz&#10;Grsf8Os5BgTjvffo/ciWZ9epIw2h9WwhmRhQxKWvWq4tbF6L8R2oEJEr7DyThU8KsMwvLzJMK3/i&#10;FR3XsVZiwiFFC02Mfap1KBtyGCa+J5bfux8cRjmHWlcDnsTcdXpqzFw7bFkSGuzpsaHyY31wFkKx&#10;pX3xNSpH5m1We5run16e0drrq8Q8gIp0jn8w/NSX6pBLp50/cBVUZ2GcCCjyze1CNglwP58tQO1+&#10;JZ1n+v+G/BtQSwMEFAAAAAgAh07iQE4qRUnAAQAAiwMAAA4AAABkcnMvZTJvRG9jLnhtbK1TTW/b&#10;MAy9D+h/EHRfnGRosRlxemjWXootwNYfwEiyLUBfINU4+fejlDTd2sswzAdZMqnH9x7p1e3BO7E3&#10;SDaGTi5mcylMUFHbMHTy6ef9x89SUIagwcVgOnk0JG/XVx9WU2rNMo7RaYOCQQK1U+rkmHNqm4bU&#10;aDzQLCYTONhH9JD5iEOjESZG965Zzuc3zRRRJ4zKEPHXzSko1xW/743K3/ueTBauk8wt1xXruitr&#10;s15BOyCk0aozDfgHFh5s4KIXqA1kEM9o30F5qzBS7PNMRd/EvrfKVA2sZjF/o+bHCMlULWwOpYtN&#10;9P9g1bf9FoXV3DspAnhu0aMNRiyLM1OilhPuwhbPJ0pbLDIPPfryZgHiUN08Xtw0hywUf7xZsKRP&#10;bLp6iTWvFxNSfjDRi7LppOOa1T/YP1LmYpz6klLquCCmTn65Xl4zHPCc9A4yb31i5hSGepeis/re&#10;OlduEA67O4diD6Xz9SmSGPePtFJkAzSe8mroNBOjAf01aJGPiT0JPLyyUPBGS+EMz3rZMSC0Gaz7&#10;m0wu7QIzKK6efCy7XdRH7sBzQjuM7MSisiwR7njle57OMlK/nyvS6z+0/g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lh2s81gAAAAsBAAAPAAAAAAAAAAEAIAAAACIAAABkcnMvZG93bnJldi54bWxQ&#10;SwECFAAUAAAACACHTuJATipFScABAACLAwAADgAAAAAAAAABACAAAAAlAQAAZHJzL2Uyb0RvYy54&#10;bWxQSwUGAAAAAAYABgBZAQAAVwUAAAAA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>
      <w:pPr>
        <w:pStyle w:val="64"/>
        <w:framePr w:y="14086"/>
        <w:ind w:right="280"/>
        <w:rPr>
          <w:color w:val="auto"/>
        </w:rPr>
      </w:pPr>
      <w:r>
        <w:rPr>
          <w:rFonts w:ascii="黑体"/>
          <w:color w:val="auto"/>
        </w:rPr>
        <w:t>2019-</w:t>
      </w:r>
      <w:r>
        <w:rPr>
          <w:rFonts w:hint="eastAsia" w:ascii="黑体"/>
          <w:color w:val="auto"/>
          <w:lang w:val="en-US" w:eastAsia="zh-CN"/>
        </w:rPr>
        <w:t>04</w:t>
      </w:r>
      <w:r>
        <w:rPr>
          <w:rFonts w:ascii="黑体"/>
          <w:color w:val="auto"/>
        </w:rPr>
        <w:t>-</w:t>
      </w:r>
      <w:r>
        <w:rPr>
          <w:rFonts w:hint="eastAsia" w:ascii="黑体"/>
          <w:color w:val="auto"/>
          <w:lang w:val="en-US" w:eastAsia="zh-CN"/>
        </w:rPr>
        <w:t>01</w:t>
      </w:r>
      <w:r>
        <w:rPr>
          <w:rFonts w:hint="eastAsia"/>
          <w:color w:val="auto"/>
        </w:rPr>
        <w:t>实施</w:t>
      </w:r>
    </w:p>
    <w:p>
      <w:pPr>
        <w:pStyle w:val="61"/>
        <w:framePr w:x="2006" w:y="14911"/>
        <w:rPr>
          <w:color w:val="auto"/>
        </w:rPr>
      </w:pPr>
      <w:bookmarkStart w:id="0" w:name="fm"/>
      <w:r>
        <w:rPr>
          <w:color w:val="auto"/>
          <w:w w:val="100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1810385</wp:posOffset>
                </wp:positionH>
                <wp:positionV relativeFrom="paragraph">
                  <wp:posOffset>-3942715</wp:posOffset>
                </wp:positionV>
                <wp:extent cx="1270000" cy="304800"/>
                <wp:effectExtent l="0" t="0" r="6350" b="0"/>
                <wp:wrapNone/>
                <wp:docPr id="3" name="LB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LB" o:spid="_x0000_s1026" o:spt="1" style="position:absolute;left:0pt;margin-left:142.55pt;margin-top:-310.45pt;height:24pt;width:100pt;z-index:-251658240;mso-width-relative:page;mso-height-relative:page;" fillcolor="#FFFFFF" filled="t" stroked="f" coordsize="21600,21600" o:gfxdata="UEsDBAoAAAAAAIdO4kAAAAAAAAAAAAAAAAAEAAAAZHJzL1BLAwQUAAAACACHTuJA+bXu1tkAAAAN&#10;AQAADwAAAGRycy9kb3ducmV2LnhtbE2PwU7DMAyG70i8Q2QkblvSspW1NN0BaSfgwIbE1WuytqJx&#10;SpNu5e0xXODo359+fy63s+vF2Y6h86QhWSoQlmpvOmo0vB12iw2IEJEM9p6shi8bYFtdX5VYGH+h&#10;V3vex0ZwCYUCNbQxDoWUoW6tw7D0gyXenfzoMPI4NtKMeOFy18tUqUw67IgvtDjYx9bWH/vJacBs&#10;ZT5fTnfPh6cpw7yZ1W79rrS+vUnUA4ho5/gHw48+q0PFTkc/kQmi15Bu1gmjGhZZqnIQjKx+oyNH&#10;6/s0B1mV8v8X1TdQSwMEFAAAAAgAh07iQCGvxBmMAQAAFAMAAA4AAABkcnMvZTJvRG9jLnhtbK1S&#10;TW8bIRC9V+p/QNzrXTtNm6y8jtRG7iVqI6X9AZiFXSRg0Azx2v++A3adftyqcIAZBh7vvWF9dwhe&#10;7A2Sg9jL5aKVwkQNg4tjL3983767kYKyioPyEE0vj4bk3ebtm/WcOrOCCfxgUDBIpG5OvZxyTl3T&#10;kJ5MULSAZCIXLWBQmVMcmwHVzOjBN6u2/dDMgENC0IaId+9PRbmp+NYanb9ZSyYL30vmluuMdd6V&#10;udmsVTeiSpPTZxrqP1gE5SI/eoG6V1mJZ3T/QAWnEQhsXmgIDVjrtKkaWM2y/UvN06SSqVrYHEoX&#10;m+j1YPXX/SMKN/TySoqoArfo4VNxZU7UcfEpPeI5Iw6LxIPFUFYmLw7VyePFSXPIQvPmcvWx5SGF&#10;5tpV+/6GY4ZpXm4npPzFQBAl6CVyp6qBav9A+XT015HyGIF3w9Z5XxMcd589ir3irm7rOKP/ccxH&#10;Mffy9np1XZEjlPsnaB+ZTJF4ElWiHQxHtuI5oRsnZrSskKXC1lfq529Sevt7XpFePvPmJ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P4DAABbQ29u&#10;dGVudF9UeXBlc10ueG1sUEsBAhQACgAAAAAAh07iQAAAAAAAAAAAAAAAAAYAAAAAAAAAAAAQAAAA&#10;4AIAAF9yZWxzL1BLAQIUABQAAAAIAIdO4kCKFGY80QAAAJQBAAALAAAAAAAAAAEAIAAAAAQDAABf&#10;cmVscy8ucmVsc1BLAQIUAAoAAAAAAIdO4kAAAAAAAAAAAAAAAAAEAAAAAAAAAAAAEAAAAAAAAABk&#10;cnMvUEsBAhQAFAAAAAgAh07iQPm17tbZAAAADQEAAA8AAAAAAAAAAQAgAAAAIgAAAGRycy9kb3du&#10;cmV2LnhtbFBLAQIUABQAAAAIAIdO4kAhr8QZjAEAABQDAAAOAAAAAAAAAAEAIAAAACgBAABkcnMv&#10;ZTJvRG9jLnhtbFBLBQYAAAAABgAGAFkBAAAm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bookmarkEnd w:id="0"/>
    </w:p>
    <w:p>
      <w:pPr>
        <w:pStyle w:val="61"/>
        <w:framePr w:x="2006" w:y="14911"/>
        <w:rPr>
          <w:color w:val="auto"/>
        </w:rPr>
      </w:pPr>
      <w:r>
        <w:rPr>
          <w:rFonts w:hint="eastAsia"/>
          <w:color w:val="auto"/>
        </w:rPr>
        <w:t>安徽省食品行业协会</w:t>
      </w:r>
      <w:r>
        <w:rPr>
          <w:color w:val="auto"/>
        </w:rPr>
        <w:t xml:space="preserve">  </w:t>
      </w:r>
      <w:r>
        <w:rPr>
          <w:rStyle w:val="53"/>
          <w:rFonts w:hint="eastAsia"/>
          <w:color w:val="auto"/>
          <w:szCs w:val="28"/>
        </w:rPr>
        <w:t>发布</w:t>
      </w:r>
    </w:p>
    <w:p>
      <w:pPr>
        <w:framePr w:w="9140" w:h="1242" w:hRule="exact" w:hSpace="284" w:wrap="around" w:vAnchor="page" w:hAnchor="page" w:x="1645" w:y="2910" w:anchorLock="1"/>
        <w:widowControl/>
        <w:spacing w:before="357" w:line="480" w:lineRule="auto"/>
        <w:jc w:val="right"/>
        <w:rPr>
          <w:rFonts w:hint="eastAsia" w:ascii="黑体" w:eastAsia="宋体"/>
          <w:color w:val="auto"/>
          <w:kern w:val="0"/>
          <w:sz w:val="28"/>
          <w:szCs w:val="28"/>
          <w:lang w:val="en-US" w:eastAsia="zh-CN"/>
        </w:rPr>
      </w:pPr>
      <w:r>
        <w:rPr>
          <w:rFonts w:eastAsia="黑体"/>
          <w:color w:val="auto"/>
          <w:kern w:val="0"/>
          <w:sz w:val="28"/>
          <w:szCs w:val="28"/>
        </w:rPr>
        <w:t>T/AHFIA</w:t>
      </w:r>
      <w:r>
        <w:rPr>
          <w:rFonts w:ascii="黑体" w:eastAsia="黑体"/>
          <w:color w:val="auto"/>
          <w:kern w:val="0"/>
          <w:sz w:val="28"/>
          <w:szCs w:val="28"/>
        </w:rPr>
        <w:t xml:space="preserve"> </w:t>
      </w:r>
      <w:r>
        <w:rPr>
          <w:rFonts w:hint="eastAsia" w:eastAsia="黑体"/>
          <w:color w:val="auto"/>
          <w:kern w:val="0"/>
          <w:sz w:val="28"/>
          <w:szCs w:val="28"/>
          <w:lang w:val="en-US" w:eastAsia="zh-CN"/>
        </w:rPr>
        <w:t>026</w:t>
      </w:r>
      <w:r>
        <w:rPr>
          <w:rFonts w:ascii="黑体" w:eastAsia="黑体"/>
          <w:color w:val="auto"/>
          <w:kern w:val="0"/>
          <w:sz w:val="28"/>
          <w:szCs w:val="28"/>
        </w:rPr>
        <w:t>-</w:t>
      </w:r>
      <w:r>
        <w:rPr>
          <w:color w:val="auto"/>
          <w:kern w:val="0"/>
          <w:sz w:val="28"/>
          <w:szCs w:val="28"/>
        </w:rPr>
        <w:t>201</w:t>
      </w:r>
      <w:r>
        <w:rPr>
          <w:rFonts w:hint="eastAsia"/>
          <w:color w:val="auto"/>
          <w:kern w:val="0"/>
          <w:sz w:val="28"/>
          <w:szCs w:val="28"/>
          <w:lang w:val="en-US" w:eastAsia="zh-CN"/>
        </w:rPr>
        <w:t>9</w:t>
      </w:r>
    </w:p>
    <w:p>
      <w:pPr>
        <w:framePr w:w="9140" w:h="1242" w:hRule="exact" w:hSpace="284" w:wrap="around" w:vAnchor="page" w:hAnchor="page" w:x="1645" w:y="2910" w:anchorLock="1"/>
        <w:widowControl/>
        <w:spacing w:before="357" w:line="280" w:lineRule="exact"/>
        <w:jc w:val="right"/>
        <w:rPr>
          <w:rFonts w:ascii="黑体" w:eastAsia="黑体"/>
          <w:color w:val="auto"/>
          <w:kern w:val="0"/>
          <w:sz w:val="28"/>
          <w:szCs w:val="28"/>
        </w:rPr>
      </w:pPr>
    </w:p>
    <w:p>
      <w:pPr>
        <w:framePr w:w="9140" w:h="1242" w:hRule="exact" w:hSpace="284" w:wrap="around" w:vAnchor="page" w:hAnchor="page" w:x="1645" w:y="2910" w:anchorLock="1"/>
        <w:widowControl/>
        <w:spacing w:before="357" w:line="280" w:lineRule="exact"/>
        <w:jc w:val="right"/>
        <w:rPr>
          <w:rFonts w:ascii="黑体" w:eastAsia="黑体"/>
          <w:color w:val="auto"/>
          <w:kern w:val="0"/>
          <w:sz w:val="28"/>
          <w:szCs w:val="28"/>
        </w:rPr>
      </w:pPr>
    </w:p>
    <w:p>
      <w:pPr>
        <w:pStyle w:val="33"/>
        <w:ind w:firstLine="0" w:firstLineChars="0"/>
        <w:rPr>
          <w:color w:val="auto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-13970</wp:posOffset>
                </wp:positionH>
                <wp:positionV relativeFrom="paragraph">
                  <wp:posOffset>177165</wp:posOffset>
                </wp:positionV>
                <wp:extent cx="6120130" cy="0"/>
                <wp:effectExtent l="0" t="0" r="0" b="0"/>
                <wp:wrapNone/>
                <wp:docPr id="4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1.1pt;margin-top:13.95pt;height:0pt;width:481.9pt;z-index:251659264;mso-width-relative:page;mso-height-relative:page;" filled="f" stroked="t" coordsize="21600,21600" o:gfxdata="UEsDBAoAAAAAAIdO4kAAAAAAAAAAAAAAAAAEAAAAZHJzL1BLAwQUAAAACACHTuJA6SLA5NYAAAAI&#10;AQAADwAAAGRycy9kb3ducmV2LnhtbE2PzU7DMBCE70i8g7VIXKrWjpFCG+L0AOTGhQLqdRsvSUS8&#10;TmP3B54eIw5wnJ3RzLfl+uwGcaQp9J4NZAsFgrjxtufWwOtLPV+CCBHZ4uCZDHxSgHV1eVFiYf2J&#10;n+m4ia1IJRwKNNDFOBZShqYjh2HhR+LkvfvJYUxyaqWd8JTK3SC1Url02HNa6HCk+46aj83BGQj1&#10;G+3rr1kzU9ub1pPePzw9ojHXV5m6AxHpHP/C8IOf0KFKTDt/YBvEYGCudUoa0LcrEMlf5VkOYvd7&#10;kFUp/z9QfQNQSwMEFAAAAAgAh07iQInk1iDBAQAAiwMAAA4AAABkcnMvZTJvRG9jLnhtbK1Ty27b&#10;MBC8F+g/ELzXsp0maAXLOcRNL0FroOkHrMmVRIAvcBnL/vsuacfp41IE0YFaapezM8PV6vbgrNhj&#10;IhN8JxezuRToVdDGD538+Xj/4ZMUlMFrsMFjJ49I8nb9/t1qii0uwxisxiQYxFM7xU6OOce2aUiN&#10;6IBmIaLnZB+Sg8zbNDQ6wcTozjbL+fymmULSMQWFRPx1c0rKdcXve1T5e98TZmE7ydxyXVNdd2Vt&#10;1itohwRxNOpMA17BwoHx3PQCtYEM4imZf6CcUSlQ6PNMBdeEvjcKqwZWs5j/pebHCBGrFjaH4sUm&#10;ejtY9W2/TcLoTn6UwoPjK3owHsVVcWaK1HLBnd+m847iNhWZhz658mYB4lDdPF7cxEMWij/eLFjS&#10;FZuunnPNy8GYKH/F4EQJOmm5Z/UP9g+UuRmXPpeUPtaLqZOfr5fXDAc8J72FzKGLzJz8UM9SsEbf&#10;G2vLCUrD7s4msYdy8/Upkhj3j7LSZAM0nupq6jQTI4L+4rXIx8ieeB5eWSg41FJY5FkvEQNCm8HY&#10;/6nk1tYzg+LqyccS7YI+8g08xWSGkZ1YVJYlwzde+Z6ns4zU7/uK9PIPrX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6SLA5NYAAAAIAQAADwAAAAAAAAABACAAAAAiAAAAZHJzL2Rvd25yZXYueG1s&#10;UEsBAhQAFAAAAAgAh07iQInk1iDBAQAAiwMAAA4AAAAAAAAAAQAgAAAAJQEAAGRycy9lMm9Eb2Mu&#10;eG1sUEsFBgAAAAAGAAYAWQEAAF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tabs>
          <w:tab w:val="left" w:pos="6630"/>
        </w:tabs>
        <w:rPr>
          <w:color w:val="auto"/>
        </w:rPr>
      </w:pPr>
      <w:r>
        <w:rPr>
          <w:color w:val="auto"/>
        </w:rPr>
        <w:tab/>
      </w:r>
    </w:p>
    <w:p>
      <w:pPr>
        <w:rPr>
          <w:color w:val="auto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440" w:right="1984" w:bottom="1440" w:left="1417" w:header="850" w:footer="992" w:gutter="0"/>
          <w:pgNumType w:fmt="upperRoman" w:start="1"/>
          <w:cols w:space="0" w:num="1"/>
          <w:docGrid w:type="lines" w:linePitch="312" w:charSpace="0"/>
        </w:sectPr>
      </w:pPr>
      <w:bookmarkStart w:id="14" w:name="_GoBack"/>
      <w:bookmarkEnd w:id="14"/>
    </w:p>
    <w:p>
      <w:pPr>
        <w:pStyle w:val="33"/>
        <w:ind w:firstLine="0" w:firstLineChars="0"/>
        <w:outlineLvl w:val="0"/>
        <w:rPr>
          <w:rFonts w:ascii="黑体" w:hAnsi="黑体" w:eastAsia="黑体"/>
          <w:color w:val="auto"/>
          <w:sz w:val="2"/>
          <w:szCs w:val="2"/>
        </w:rPr>
      </w:pPr>
      <w:bookmarkStart w:id="1" w:name="_Toc20658"/>
      <w:bookmarkStart w:id="2" w:name="_Toc20393"/>
      <w:bookmarkStart w:id="3" w:name="_Toc488814334"/>
    </w:p>
    <w:p>
      <w:pPr>
        <w:pStyle w:val="33"/>
        <w:ind w:firstLine="0" w:firstLineChars="0"/>
        <w:outlineLvl w:val="0"/>
        <w:rPr>
          <w:rFonts w:ascii="黑体" w:hAnsi="黑体" w:eastAsia="黑体"/>
          <w:color w:val="auto"/>
          <w:sz w:val="2"/>
          <w:szCs w:val="2"/>
        </w:rPr>
      </w:pPr>
    </w:p>
    <w:p>
      <w:pPr>
        <w:pStyle w:val="33"/>
        <w:ind w:firstLine="0" w:firstLineChars="0"/>
        <w:jc w:val="center"/>
        <w:outlineLvl w:val="0"/>
        <w:rPr>
          <w:rFonts w:ascii="黑体" w:hAnsi="黑体" w:eastAsia="黑体"/>
          <w:color w:val="auto"/>
          <w:sz w:val="32"/>
        </w:rPr>
      </w:pPr>
      <w:r>
        <w:rPr>
          <w:rFonts w:hint="eastAsia" w:ascii="黑体" w:hAnsi="黑体" w:eastAsia="黑体"/>
          <w:color w:val="auto"/>
          <w:sz w:val="32"/>
        </w:rPr>
        <w:t>前</w:t>
      </w:r>
      <w:r>
        <w:rPr>
          <w:rFonts w:ascii="黑体" w:hAnsi="黑体" w:eastAsia="黑体"/>
          <w:color w:val="auto"/>
          <w:sz w:val="32"/>
        </w:rPr>
        <w:t xml:space="preserve">    </w:t>
      </w:r>
      <w:r>
        <w:rPr>
          <w:rFonts w:hint="eastAsia" w:ascii="黑体" w:hAnsi="黑体" w:eastAsia="黑体"/>
          <w:color w:val="auto"/>
          <w:sz w:val="32"/>
        </w:rPr>
        <w:t>言</w:t>
      </w:r>
      <w:bookmarkEnd w:id="1"/>
      <w:bookmarkEnd w:id="2"/>
      <w:bookmarkEnd w:id="3"/>
    </w:p>
    <w:p>
      <w:pPr>
        <w:pStyle w:val="33"/>
        <w:ind w:firstLine="80" w:firstLineChars="400"/>
        <w:rPr>
          <w:color w:val="auto"/>
          <w:sz w:val="2"/>
          <w:szCs w:val="2"/>
        </w:rPr>
      </w:pPr>
    </w:p>
    <w:p>
      <w:pPr>
        <w:pStyle w:val="33"/>
        <w:rPr>
          <w:color w:val="auto"/>
        </w:rPr>
      </w:pPr>
      <w:r>
        <w:rPr>
          <w:rFonts w:hint="eastAsia" w:cs="宋体"/>
          <w:color w:val="auto"/>
          <w:kern w:val="0"/>
          <w:szCs w:val="21"/>
        </w:rPr>
        <w:t>本标准按照</w:t>
      </w:r>
      <w:r>
        <w:rPr>
          <w:rFonts w:cs="宋体"/>
          <w:color w:val="auto"/>
          <w:kern w:val="0"/>
          <w:szCs w:val="21"/>
        </w:rPr>
        <w:t xml:space="preserve"> GB/T 1.1-2009 </w:t>
      </w:r>
      <w:r>
        <w:rPr>
          <w:rFonts w:hint="eastAsia" w:cs="宋体"/>
          <w:color w:val="auto"/>
          <w:kern w:val="0"/>
          <w:szCs w:val="21"/>
        </w:rPr>
        <w:t>给出的规则起草。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本标准由安徽安徽省食品行业协会提出并归口。</w:t>
      </w:r>
    </w:p>
    <w:p>
      <w:pPr>
        <w:pStyle w:val="33"/>
        <w:rPr>
          <w:rFonts w:hint="eastAsia" w:eastAsia="宋体"/>
          <w:color w:val="auto"/>
          <w:lang w:eastAsia="zh-CN"/>
        </w:rPr>
      </w:pPr>
      <w:r>
        <w:rPr>
          <w:rFonts w:hint="eastAsia"/>
          <w:color w:val="auto"/>
        </w:rPr>
        <w:t>本标准起草单位：安徽明光酒业有限公司、安徽国科</w:t>
      </w:r>
      <w:r>
        <w:rPr>
          <w:rFonts w:hint="eastAsia"/>
          <w:color w:val="auto"/>
          <w:lang w:eastAsia="zh-CN"/>
        </w:rPr>
        <w:t>检测</w:t>
      </w:r>
      <w:r>
        <w:rPr>
          <w:rFonts w:hint="eastAsia"/>
          <w:color w:val="auto"/>
        </w:rPr>
        <w:t>科技有限公司</w:t>
      </w:r>
      <w:r>
        <w:rPr>
          <w:rFonts w:hint="eastAsia"/>
          <w:color w:val="auto"/>
          <w:lang w:eastAsia="zh-CN"/>
        </w:rPr>
        <w:t>、安徽省食品药品检验研究院。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本标准主要起草人：</w:t>
      </w:r>
      <w:r>
        <w:rPr>
          <w:rFonts w:hint="eastAsia"/>
          <w:color w:val="auto"/>
          <w:lang w:eastAsia="zh-CN"/>
        </w:rPr>
        <w:t>邵栋梁</w:t>
      </w:r>
      <w:r>
        <w:rPr>
          <w:rFonts w:hint="eastAsia"/>
          <w:color w:val="auto"/>
        </w:rPr>
        <w:t>、李东风、付启海、</w:t>
      </w:r>
      <w:r>
        <w:rPr>
          <w:rFonts w:hint="eastAsia"/>
          <w:color w:val="auto"/>
          <w:lang w:eastAsia="zh-CN"/>
        </w:rPr>
        <w:t>孙晴、汪菲、</w:t>
      </w:r>
      <w:r>
        <w:rPr>
          <w:rFonts w:hint="eastAsia"/>
          <w:color w:val="auto"/>
        </w:rPr>
        <w:t>范新发</w:t>
      </w:r>
      <w:r>
        <w:rPr>
          <w:rFonts w:hint="eastAsia"/>
          <w:color w:val="auto"/>
          <w:lang w:eastAsia="zh-CN"/>
        </w:rPr>
        <w:t>、王杰、姚亚峰、张强</w:t>
      </w:r>
      <w:r>
        <w:rPr>
          <w:rFonts w:hint="eastAsia"/>
          <w:color w:val="auto"/>
        </w:rPr>
        <w:t>。</w:t>
      </w:r>
    </w:p>
    <w:p>
      <w:pPr>
        <w:rPr>
          <w:color w:val="auto"/>
        </w:rPr>
        <w:sectPr>
          <w:headerReference r:id="rId7" w:type="default"/>
          <w:footerReference r:id="rId9" w:type="default"/>
          <w:headerReference r:id="rId8" w:type="even"/>
          <w:footerReference r:id="rId10" w:type="even"/>
          <w:pgSz w:w="11906" w:h="16838"/>
          <w:pgMar w:top="1418" w:right="1134" w:bottom="1134" w:left="1418" w:header="1418" w:footer="1134" w:gutter="0"/>
          <w:pgNumType w:fmt="upperRoman" w:start="1"/>
          <w:cols w:space="0" w:num="1"/>
          <w:formProt w:val="0"/>
          <w:docGrid w:type="lines" w:linePitch="312" w:charSpace="0"/>
        </w:sectPr>
      </w:pPr>
    </w:p>
    <w:p>
      <w:pPr>
        <w:pStyle w:val="42"/>
        <w:spacing w:after="520"/>
        <w:rPr>
          <w:rFonts w:hAnsi="黑体"/>
          <w:color w:val="auto"/>
          <w:szCs w:val="32"/>
        </w:rPr>
      </w:pPr>
      <w:r>
        <w:rPr>
          <w:rFonts w:hint="eastAsia" w:hAnsi="黑体"/>
          <w:color w:val="auto"/>
          <w:szCs w:val="32"/>
          <w:lang w:eastAsia="zh-CN"/>
        </w:rPr>
        <w:t>明绿香型白酒</w:t>
      </w:r>
    </w:p>
    <w:p>
      <w:pPr>
        <w:pStyle w:val="36"/>
        <w:numPr>
          <w:ilvl w:val="0"/>
          <w:numId w:val="4"/>
        </w:numPr>
        <w:spacing w:before="317" w:after="317"/>
        <w:rPr>
          <w:color w:val="auto"/>
        </w:rPr>
      </w:pPr>
      <w:r>
        <w:rPr>
          <w:rFonts w:hint="eastAsia"/>
          <w:color w:val="auto"/>
        </w:rPr>
        <w:t>范围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本标准规定了明绿香型白酒的术语</w:t>
      </w:r>
      <w:r>
        <w:rPr>
          <w:rFonts w:hint="eastAsia" w:hAnsi="宋体"/>
          <w:color w:val="auto"/>
        </w:rPr>
        <w:t>和</w:t>
      </w:r>
      <w:r>
        <w:rPr>
          <w:rFonts w:hint="eastAsia"/>
          <w:color w:val="auto"/>
        </w:rPr>
        <w:t>定义、产品分类、要求、食品添加剂、生产加工过程的卫生要求、检验规则、标签、标志、包装、运输、贮存和产品召回。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本标准适用于</w:t>
      </w:r>
      <w:r>
        <w:rPr>
          <w:rFonts w:hint="eastAsia"/>
          <w:color w:val="auto"/>
          <w:lang w:eastAsia="zh-CN"/>
        </w:rPr>
        <w:t>明绿香型白酒</w:t>
      </w:r>
      <w:r>
        <w:rPr>
          <w:rFonts w:hint="eastAsia"/>
          <w:color w:val="auto"/>
        </w:rPr>
        <w:t>的生产、销售、检验。</w:t>
      </w:r>
    </w:p>
    <w:p>
      <w:pPr>
        <w:pStyle w:val="36"/>
        <w:numPr>
          <w:ilvl w:val="0"/>
          <w:numId w:val="4"/>
        </w:numPr>
        <w:spacing w:before="317" w:after="317"/>
        <w:rPr>
          <w:color w:val="auto"/>
        </w:rPr>
      </w:pPr>
      <w:r>
        <w:rPr>
          <w:rFonts w:hint="eastAsia"/>
          <w:color w:val="auto"/>
        </w:rPr>
        <w:t>规范性引用文件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>
      <w:pPr>
        <w:jc w:val="left"/>
        <w:rPr>
          <w:rFonts w:hint="eastAsia" w:ascii="宋体" w:hAnsi="宋体"/>
          <w:color w:val="auto"/>
        </w:rPr>
      </w:pPr>
      <w:r>
        <w:rPr>
          <w:rFonts w:hint="eastAsia" w:ascii="宋体" w:hAnsi="宋体"/>
          <w:color w:val="auto"/>
        </w:rPr>
        <w:t xml:space="preserve">  </w:t>
      </w:r>
      <w:r>
        <w:rPr>
          <w:rFonts w:hint="eastAsia" w:ascii="宋体" w:hAnsi="宋体"/>
          <w:color w:val="auto"/>
          <w:lang w:val="en-US" w:eastAsia="zh-CN"/>
        </w:rPr>
        <w:t xml:space="preserve">  </w:t>
      </w:r>
      <w:r>
        <w:rPr>
          <w:rFonts w:hint="eastAsia" w:ascii="宋体" w:hAnsi="宋体"/>
          <w:color w:val="auto"/>
        </w:rPr>
        <w:t>GB/T 191</w:t>
      </w:r>
      <w:r>
        <w:rPr>
          <w:rFonts w:hint="eastAsia" w:ascii="宋体" w:hAnsi="宋体"/>
          <w:color w:val="auto"/>
          <w:lang w:val="en-US" w:eastAsia="zh-CN"/>
        </w:rPr>
        <w:t xml:space="preserve">  </w:t>
      </w:r>
      <w:r>
        <w:rPr>
          <w:rFonts w:hint="eastAsia" w:ascii="宋体" w:hAnsi="宋体"/>
          <w:color w:val="auto"/>
        </w:rPr>
        <w:t>包装储运图示标志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13</w:t>
      </w:r>
      <w:r>
        <w:rPr>
          <w:color w:val="auto"/>
        </w:rPr>
        <w:t>51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小麦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 2715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食品安全国家标准 粮食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 2757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食品安全国家标准 蒸馏酒及其配制酒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 2761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食品安全国家标准 食品中真菌毒素限量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 2762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食品安全国家标准 食品中污染物限量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 2763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食品安全国家标准 食品中农药最大残留限量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 5009.12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食品安全国家标准 食品中铅的测定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 5009.36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食品安全国家标准 食品中氰化物的测定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 5009.225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食品安全国家标准 酒中乙醇浓度的测定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 5009.266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食品安全国家标准 食品中甲醇的测定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 5749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生活饮用水卫生标准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 7718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color w:val="auto"/>
        </w:rPr>
        <w:t>食品安全国家标准 预包装食品标签通则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GB/T 8231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高粱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 8951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食品安全国家标准 蒸馏酒及其配制酒生产卫生规范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GB/T 10345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白酒分析方法（含第1号修改单）</w:t>
      </w:r>
    </w:p>
    <w:p>
      <w:pPr>
        <w:ind w:firstLine="406"/>
        <w:rPr>
          <w:rFonts w:ascii="宋体" w:hAnsi="宋体"/>
          <w:color w:val="auto"/>
          <w:szCs w:val="21"/>
        </w:rPr>
      </w:pPr>
      <w:r>
        <w:rPr>
          <w:rFonts w:ascii="宋体" w:hAnsi="宋体" w:cs="Calibri"/>
          <w:color w:val="auto"/>
          <w:szCs w:val="21"/>
        </w:rPr>
        <w:t>GB/T 10346</w:t>
      </w:r>
      <w:r>
        <w:rPr>
          <w:rFonts w:hint="eastAsia" w:ascii="宋体" w:hAnsi="宋体" w:cs="Calibri"/>
          <w:color w:val="auto"/>
          <w:szCs w:val="21"/>
          <w:lang w:val="en-US" w:eastAsia="zh-CN"/>
        </w:rPr>
        <w:t xml:space="preserve">  </w:t>
      </w:r>
      <w:r>
        <w:rPr>
          <w:rFonts w:hint="eastAsia" w:ascii="宋体" w:hAnsi="宋体"/>
          <w:color w:val="auto"/>
          <w:szCs w:val="21"/>
        </w:rPr>
        <w:t>白酒检验规则和标志、包装、运输、贮存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GB/T</w:t>
      </w:r>
      <w:r>
        <w:rPr>
          <w:color w:val="auto"/>
        </w:rPr>
        <w:t xml:space="preserve"> 10460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豌豆</w:t>
      </w:r>
    </w:p>
    <w:p>
      <w:pPr>
        <w:pStyle w:val="33"/>
        <w:rPr>
          <w:rFonts w:hint="eastAsia"/>
          <w:color w:val="auto"/>
        </w:rPr>
      </w:pPr>
      <w:r>
        <w:rPr>
          <w:rFonts w:hint="eastAsia"/>
          <w:color w:val="auto"/>
        </w:rPr>
        <w:t>GB/T 10462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 xml:space="preserve">绿豆 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 14881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 xml:space="preserve">食品安全国家标准 </w:t>
      </w:r>
      <w:r>
        <w:rPr>
          <w:color w:val="auto"/>
        </w:rPr>
        <w:t>食品生产通用卫生规范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GB/T 15109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白酒工业术语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JJF 1070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</w:rPr>
        <w:t>定量包装商品净含量计量检验规则</w:t>
      </w:r>
    </w:p>
    <w:p>
      <w:pPr>
        <w:pStyle w:val="33"/>
        <w:rPr>
          <w:rFonts w:hint="eastAsia"/>
          <w:color w:val="auto"/>
        </w:rPr>
      </w:pPr>
      <w:r>
        <w:rPr>
          <w:rFonts w:hint="eastAsia"/>
          <w:color w:val="auto"/>
        </w:rPr>
        <w:t>国家质量监督检验检疫总局令［2005］第75号 定量包装商品计量监督管理办法</w:t>
      </w:r>
    </w:p>
    <w:p>
      <w:pPr>
        <w:pStyle w:val="33"/>
        <w:rPr>
          <w:rFonts w:hint="eastAsia"/>
          <w:color w:val="auto"/>
        </w:rPr>
      </w:pPr>
    </w:p>
    <w:p>
      <w:pPr>
        <w:pStyle w:val="33"/>
        <w:rPr>
          <w:rFonts w:hint="eastAsia"/>
          <w:color w:val="auto"/>
        </w:rPr>
      </w:pPr>
    </w:p>
    <w:p>
      <w:pPr>
        <w:pStyle w:val="36"/>
        <w:numPr>
          <w:ilvl w:val="0"/>
          <w:numId w:val="4"/>
        </w:numPr>
        <w:spacing w:before="317" w:after="317"/>
        <w:rPr>
          <w:color w:val="auto"/>
        </w:rPr>
      </w:pPr>
      <w:bookmarkStart w:id="4" w:name="_Toc9551"/>
      <w:bookmarkStart w:id="5" w:name="_Toc488814338"/>
      <w:bookmarkStart w:id="6" w:name="_Toc15369"/>
      <w:bookmarkStart w:id="7" w:name="_Toc488691772"/>
      <w:r>
        <w:rPr>
          <w:rFonts w:hint="eastAsia"/>
          <w:color w:val="auto"/>
        </w:rPr>
        <w:t>术语和定义</w:t>
      </w:r>
    </w:p>
    <w:bookmarkEnd w:id="4"/>
    <w:bookmarkEnd w:id="5"/>
    <w:bookmarkEnd w:id="6"/>
    <w:bookmarkEnd w:id="7"/>
    <w:p>
      <w:pPr>
        <w:pStyle w:val="33"/>
        <w:rPr>
          <w:rFonts w:hAnsi="宋体"/>
          <w:color w:val="auto"/>
        </w:rPr>
      </w:pPr>
      <w:bookmarkStart w:id="8" w:name="_Toc488691773"/>
      <w:bookmarkStart w:id="9" w:name="_Toc488814339"/>
      <w:r>
        <w:rPr>
          <w:rFonts w:hint="eastAsia" w:hAnsi="宋体"/>
          <w:color w:val="auto"/>
        </w:rPr>
        <w:t>GB/T 15109</w:t>
      </w:r>
      <w:r>
        <w:rPr>
          <w:rFonts w:hint="eastAsia" w:hAnsi="宋体"/>
          <w:color w:val="auto"/>
          <w:lang w:val="en-US" w:eastAsia="zh-CN"/>
        </w:rPr>
        <w:t xml:space="preserve"> </w:t>
      </w:r>
      <w:r>
        <w:rPr>
          <w:rFonts w:hint="eastAsia" w:hAnsi="宋体"/>
          <w:color w:val="auto"/>
        </w:rPr>
        <w:t>中</w:t>
      </w:r>
      <w:r>
        <w:rPr>
          <w:rFonts w:hint="eastAsia" w:hAnsi="宋体"/>
          <w:color w:val="auto"/>
          <w:lang w:eastAsia="zh-CN"/>
        </w:rPr>
        <w:t>确立</w:t>
      </w:r>
      <w:r>
        <w:rPr>
          <w:rFonts w:hint="eastAsia" w:hAnsi="宋体"/>
          <w:color w:val="auto"/>
        </w:rPr>
        <w:t>的以及下列术语和定义适用于本文件。</w:t>
      </w:r>
    </w:p>
    <w:p>
      <w:pPr>
        <w:pStyle w:val="35"/>
        <w:numPr>
          <w:ilvl w:val="1"/>
          <w:numId w:val="4"/>
        </w:numPr>
        <w:spacing w:before="158" w:afterLines="0"/>
        <w:ind w:left="0"/>
        <w:outlineLvl w:val="1"/>
        <w:rPr>
          <w:color w:val="auto"/>
        </w:rPr>
      </w:pPr>
    </w:p>
    <w:bookmarkEnd w:id="8"/>
    <w:bookmarkEnd w:id="9"/>
    <w:p>
      <w:pPr>
        <w:pStyle w:val="35"/>
        <w:spacing w:beforeLines="0" w:after="158"/>
        <w:ind w:firstLine="420"/>
        <w:outlineLvl w:val="1"/>
        <w:rPr>
          <w:color w:val="auto"/>
        </w:rPr>
      </w:pPr>
      <w:r>
        <w:rPr>
          <w:rFonts w:hint="eastAsia"/>
          <w:color w:val="auto"/>
          <w:lang w:eastAsia="zh-CN"/>
        </w:rPr>
        <w:t>明绿香型白酒（</w:t>
      </w:r>
      <w:r>
        <w:rPr>
          <w:rFonts w:hint="eastAsia"/>
          <w:color w:val="auto"/>
          <w:lang w:val="en-US" w:eastAsia="zh-CN"/>
        </w:rPr>
        <w:t>Minglv-flavour Chinese spirits</w:t>
      </w:r>
      <w:r>
        <w:rPr>
          <w:rFonts w:hint="eastAsia"/>
          <w:color w:val="auto"/>
          <w:lang w:eastAsia="zh-CN"/>
        </w:rPr>
        <w:t>）</w:t>
      </w:r>
    </w:p>
    <w:p>
      <w:pPr>
        <w:pStyle w:val="33"/>
        <w:rPr>
          <w:rFonts w:hint="eastAsia" w:cs="Times New Roman" w:asciiTheme="minorEastAsia" w:hAnsiTheme="minorEastAsia" w:eastAsiaTheme="minorEastAsia"/>
          <w:color w:val="auto"/>
          <w:kern w:val="0"/>
          <w:sz w:val="21"/>
          <w:szCs w:val="22"/>
          <w:lang w:val="en-US" w:eastAsia="zh-CN" w:bidi="ar-SA"/>
        </w:rPr>
      </w:pPr>
      <w:r>
        <w:rPr>
          <w:rStyle w:val="65"/>
          <w:rFonts w:hint="default"/>
          <w:color w:val="auto"/>
          <w:sz w:val="21"/>
          <w:szCs w:val="21"/>
        </w:rPr>
        <w:t>以安徽省明光地区所产绿豆（简称明绿）为主要原料，</w:t>
      </w:r>
      <w:r>
        <w:rPr>
          <w:rStyle w:val="65"/>
          <w:rFonts w:hint="eastAsia"/>
          <w:color w:val="auto"/>
          <w:sz w:val="21"/>
          <w:szCs w:val="21"/>
          <w:lang w:eastAsia="zh-CN"/>
        </w:rPr>
        <w:t>辅</w:t>
      </w:r>
      <w:r>
        <w:rPr>
          <w:rStyle w:val="65"/>
          <w:rFonts w:hint="default"/>
          <w:color w:val="auto"/>
          <w:sz w:val="21"/>
          <w:szCs w:val="21"/>
        </w:rPr>
        <w:t>以高粱，采用以明</w:t>
      </w:r>
      <w:r>
        <w:rPr>
          <w:rStyle w:val="65"/>
          <w:rFonts w:hint="eastAsia"/>
          <w:color w:val="auto"/>
          <w:sz w:val="21"/>
          <w:szCs w:val="21"/>
          <w:lang w:eastAsia="zh-CN"/>
        </w:rPr>
        <w:t>光</w:t>
      </w:r>
      <w:r>
        <w:rPr>
          <w:rStyle w:val="65"/>
          <w:rFonts w:hint="default"/>
          <w:color w:val="auto"/>
          <w:sz w:val="21"/>
          <w:szCs w:val="21"/>
        </w:rPr>
        <w:t>绿</w:t>
      </w:r>
      <w:r>
        <w:rPr>
          <w:rStyle w:val="65"/>
          <w:rFonts w:hint="eastAsia"/>
          <w:color w:val="auto"/>
          <w:sz w:val="21"/>
          <w:szCs w:val="21"/>
          <w:lang w:eastAsia="zh-CN"/>
        </w:rPr>
        <w:t>豆</w:t>
      </w:r>
      <w:r>
        <w:rPr>
          <w:rStyle w:val="65"/>
          <w:rFonts w:hint="default"/>
          <w:color w:val="auto"/>
          <w:sz w:val="21"/>
          <w:szCs w:val="21"/>
        </w:rPr>
        <w:t>、小麦、大麦、豌豆为制曲原料制作糖化发酵剂，经泥窖发酵、续渣、混烧、分层蒸馏、分级贮存、勾兑而成，未添加非白酒自身发酵产生的呈香呈色呈味物质，具有绿豆香突出、风格典型的白酒。</w:t>
      </w:r>
    </w:p>
    <w:p>
      <w:pPr>
        <w:pStyle w:val="36"/>
        <w:numPr>
          <w:ilvl w:val="0"/>
          <w:numId w:val="4"/>
        </w:numPr>
        <w:spacing w:before="317" w:after="317"/>
        <w:rPr>
          <w:color w:val="auto"/>
        </w:rPr>
      </w:pPr>
      <w:r>
        <w:rPr>
          <w:rFonts w:hint="eastAsia"/>
          <w:color w:val="auto"/>
          <w:lang w:eastAsia="zh-CN"/>
        </w:rPr>
        <w:t>产品分类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按产品的酒精度分为：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高度酒：酒精度4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</w:rPr>
        <w:t>%vol</w:t>
      </w:r>
      <w:r>
        <w:rPr>
          <w:rFonts w:hint="eastAsia" w:hAnsi="宋体"/>
          <w:color w:val="auto"/>
        </w:rPr>
        <w:t>～</w:t>
      </w:r>
      <w:r>
        <w:rPr>
          <w:rFonts w:hint="eastAsia"/>
          <w:color w:val="auto"/>
        </w:rPr>
        <w:t>68%vol；</w:t>
      </w:r>
    </w:p>
    <w:p>
      <w:pPr>
        <w:pStyle w:val="33"/>
        <w:rPr>
          <w:rFonts w:hint="eastAsia"/>
          <w:color w:val="auto"/>
        </w:rPr>
      </w:pPr>
      <w:r>
        <w:rPr>
          <w:rFonts w:hint="eastAsia"/>
          <w:color w:val="auto"/>
        </w:rPr>
        <w:t>低度酒：酒精度2</w:t>
      </w:r>
      <w:r>
        <w:rPr>
          <w:rFonts w:hint="eastAsia"/>
          <w:color w:val="auto"/>
          <w:lang w:val="en-US" w:eastAsia="zh-CN"/>
        </w:rPr>
        <w:t>8</w:t>
      </w:r>
      <w:r>
        <w:rPr>
          <w:rFonts w:hint="eastAsia"/>
          <w:color w:val="auto"/>
        </w:rPr>
        <w:t>%vol</w:t>
      </w:r>
      <w:r>
        <w:rPr>
          <w:rFonts w:hint="eastAsia" w:hAnsi="宋体"/>
          <w:color w:val="auto"/>
        </w:rPr>
        <w:t>～</w:t>
      </w:r>
      <w:r>
        <w:rPr>
          <w:rFonts w:hint="eastAsia"/>
          <w:color w:val="auto"/>
          <w:lang w:val="en-US" w:eastAsia="zh-CN"/>
        </w:rPr>
        <w:t>45</w:t>
      </w:r>
      <w:r>
        <w:rPr>
          <w:rFonts w:hint="eastAsia"/>
          <w:color w:val="auto"/>
        </w:rPr>
        <w:t>%vol；（不包括</w:t>
      </w:r>
      <w:r>
        <w:rPr>
          <w:rFonts w:hint="eastAsia"/>
          <w:color w:val="auto"/>
          <w:lang w:val="en-US" w:eastAsia="zh-CN"/>
        </w:rPr>
        <w:t>45</w:t>
      </w:r>
      <w:r>
        <w:rPr>
          <w:rFonts w:hint="eastAsia"/>
          <w:color w:val="auto"/>
        </w:rPr>
        <w:t>%vol）。</w:t>
      </w:r>
    </w:p>
    <w:p>
      <w:pPr>
        <w:pStyle w:val="36"/>
        <w:numPr>
          <w:ilvl w:val="0"/>
          <w:numId w:val="4"/>
        </w:numPr>
        <w:spacing w:before="317" w:after="317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要求</w:t>
      </w:r>
    </w:p>
    <w:p>
      <w:pPr>
        <w:pStyle w:val="35"/>
        <w:numPr>
          <w:ilvl w:val="1"/>
          <w:numId w:val="4"/>
        </w:numPr>
        <w:spacing w:before="158" w:after="158"/>
        <w:ind w:left="0"/>
        <w:rPr>
          <w:rStyle w:val="46"/>
          <w:color w:val="auto"/>
          <w:sz w:val="21"/>
        </w:rPr>
      </w:pPr>
      <w:r>
        <w:rPr>
          <w:rStyle w:val="46"/>
          <w:rFonts w:hint="eastAsia"/>
          <w:color w:val="auto"/>
          <w:sz w:val="21"/>
          <w:lang w:eastAsia="zh-CN"/>
        </w:rPr>
        <w:t>基本要求</w:t>
      </w:r>
    </w:p>
    <w:p>
      <w:pPr>
        <w:pStyle w:val="35"/>
        <w:numPr>
          <w:ilvl w:val="0"/>
          <w:numId w:val="0"/>
        </w:numPr>
        <w:spacing w:before="156" w:after="156"/>
        <w:ind w:firstLine="420" w:firstLineChars="200"/>
        <w:rPr>
          <w:rFonts w:ascii="宋体" w:hAnsi="宋体" w:eastAsia="宋体"/>
          <w:color w:val="auto"/>
        </w:rPr>
      </w:pPr>
      <w:r>
        <w:rPr>
          <w:rFonts w:hint="eastAsia" w:ascii="宋体" w:hAnsi="宋体" w:eastAsia="宋体"/>
          <w:color w:val="auto"/>
        </w:rPr>
        <w:t>不得添加非食用物质；使用的食品原料应符合</w:t>
      </w:r>
      <w:r>
        <w:rPr>
          <w:rFonts w:hint="eastAsia" w:ascii="宋体" w:hAnsi="宋体" w:eastAsia="宋体"/>
          <w:color w:val="auto"/>
          <w:lang w:val="en-US" w:eastAsia="zh-CN"/>
        </w:rPr>
        <w:t xml:space="preserve"> </w:t>
      </w:r>
      <w:r>
        <w:rPr>
          <w:rFonts w:hint="eastAsia" w:ascii="宋体" w:hAnsi="宋体" w:eastAsia="宋体"/>
          <w:color w:val="auto"/>
        </w:rPr>
        <w:t>GB 2761、</w:t>
      </w:r>
      <w:r>
        <w:rPr>
          <w:rFonts w:hint="eastAsia" w:ascii="宋体" w:hAnsi="宋体" w:eastAsia="宋体"/>
          <w:color w:val="auto"/>
          <w:lang w:val="en-US" w:eastAsia="zh-CN"/>
        </w:rPr>
        <w:t xml:space="preserve"> </w:t>
      </w:r>
      <w:r>
        <w:rPr>
          <w:rFonts w:hint="eastAsia" w:ascii="宋体" w:hAnsi="宋体" w:eastAsia="宋体"/>
          <w:color w:val="auto"/>
        </w:rPr>
        <w:t>GB 2762</w:t>
      </w:r>
      <w:r>
        <w:rPr>
          <w:rFonts w:hint="eastAsia" w:ascii="宋体" w:hAnsi="宋体" w:eastAsia="宋体"/>
          <w:color w:val="auto"/>
          <w:lang w:val="en-US" w:eastAsia="zh-CN"/>
        </w:rPr>
        <w:t xml:space="preserve"> </w:t>
      </w:r>
      <w:r>
        <w:rPr>
          <w:rFonts w:hint="eastAsia" w:ascii="宋体" w:hAnsi="宋体" w:eastAsia="宋体"/>
          <w:color w:val="auto"/>
        </w:rPr>
        <w:t>和</w:t>
      </w:r>
      <w:r>
        <w:rPr>
          <w:rFonts w:hint="eastAsia" w:ascii="宋体" w:hAnsi="宋体" w:eastAsia="宋体"/>
          <w:color w:val="auto"/>
          <w:lang w:val="en-US" w:eastAsia="zh-CN"/>
        </w:rPr>
        <w:t xml:space="preserve"> </w:t>
      </w:r>
      <w:r>
        <w:rPr>
          <w:rFonts w:hint="eastAsia" w:ascii="宋体" w:hAnsi="宋体" w:eastAsia="宋体"/>
          <w:color w:val="auto"/>
        </w:rPr>
        <w:t>GB 2763</w:t>
      </w:r>
      <w:r>
        <w:rPr>
          <w:rFonts w:hint="eastAsia" w:ascii="宋体" w:hAnsi="宋体" w:eastAsia="宋体"/>
          <w:color w:val="auto"/>
          <w:lang w:val="en-US" w:eastAsia="zh-CN"/>
        </w:rPr>
        <w:t xml:space="preserve"> </w:t>
      </w:r>
      <w:r>
        <w:rPr>
          <w:rFonts w:hint="eastAsia" w:ascii="宋体" w:hAnsi="宋体" w:eastAsia="宋体"/>
          <w:color w:val="auto"/>
        </w:rPr>
        <w:t>的规定。</w:t>
      </w:r>
    </w:p>
    <w:p>
      <w:pPr>
        <w:pStyle w:val="35"/>
        <w:numPr>
          <w:ilvl w:val="1"/>
          <w:numId w:val="4"/>
        </w:numPr>
        <w:spacing w:before="158" w:after="158"/>
        <w:ind w:left="0"/>
        <w:rPr>
          <w:rStyle w:val="46"/>
          <w:color w:val="auto"/>
          <w:sz w:val="21"/>
        </w:rPr>
      </w:pPr>
      <w:r>
        <w:rPr>
          <w:rStyle w:val="46"/>
          <w:rFonts w:hint="eastAsia"/>
          <w:color w:val="auto"/>
          <w:sz w:val="21"/>
        </w:rPr>
        <w:t>原</w:t>
      </w:r>
      <w:r>
        <w:rPr>
          <w:rStyle w:val="46"/>
          <w:rFonts w:hint="eastAsia"/>
          <w:color w:val="auto"/>
          <w:sz w:val="21"/>
          <w:lang w:eastAsia="zh-CN"/>
        </w:rPr>
        <w:t>辅</w:t>
      </w:r>
      <w:r>
        <w:rPr>
          <w:rStyle w:val="46"/>
          <w:rFonts w:hint="eastAsia"/>
          <w:color w:val="auto"/>
          <w:sz w:val="21"/>
        </w:rPr>
        <w:t>料要求</w:t>
      </w:r>
    </w:p>
    <w:p>
      <w:pPr>
        <w:pStyle w:val="37"/>
        <w:numPr>
          <w:ilvl w:val="2"/>
          <w:numId w:val="0"/>
        </w:numPr>
        <w:spacing w:before="158" w:after="158"/>
        <w:rPr>
          <w:color w:val="auto"/>
        </w:rPr>
      </w:pPr>
      <w:r>
        <w:rPr>
          <w:rFonts w:hint="eastAsia"/>
          <w:color w:val="auto"/>
          <w:lang w:val="en-US" w:eastAsia="zh-CN"/>
        </w:rPr>
        <w:t>5</w:t>
      </w:r>
      <w:r>
        <w:rPr>
          <w:color w:val="auto"/>
        </w:rPr>
        <w:t>.</w:t>
      </w:r>
      <w:r>
        <w:rPr>
          <w:rFonts w:hint="eastAsia"/>
          <w:color w:val="auto"/>
          <w:lang w:val="en-US" w:eastAsia="zh-CN"/>
        </w:rPr>
        <w:t>2</w:t>
      </w:r>
      <w:r>
        <w:rPr>
          <w:color w:val="auto"/>
        </w:rPr>
        <w:t>.1</w:t>
      </w:r>
      <w:r>
        <w:rPr>
          <w:rFonts w:hint="eastAsia"/>
          <w:color w:val="auto"/>
          <w:lang w:eastAsia="zh-CN"/>
        </w:rPr>
        <w:t>水</w:t>
      </w:r>
    </w:p>
    <w:p>
      <w:pPr>
        <w:pStyle w:val="35"/>
        <w:spacing w:before="158" w:after="158"/>
        <w:ind w:firstLine="420" w:firstLineChars="200"/>
        <w:rPr>
          <w:rFonts w:ascii="宋体" w:eastAsia="宋体"/>
          <w:color w:val="auto"/>
        </w:rPr>
      </w:pPr>
      <w:r>
        <w:rPr>
          <w:rFonts w:hint="eastAsia" w:ascii="宋体" w:hAnsi="宋体" w:eastAsia="宋体"/>
          <w:color w:val="auto"/>
          <w:kern w:val="2"/>
          <w:szCs w:val="24"/>
        </w:rPr>
        <w:t>应符合</w:t>
      </w:r>
      <w:r>
        <w:rPr>
          <w:rFonts w:hint="eastAsia" w:ascii="宋体" w:hAnsi="宋体" w:eastAsia="宋体"/>
          <w:color w:val="auto"/>
          <w:kern w:val="2"/>
          <w:szCs w:val="24"/>
          <w:lang w:val="en-US" w:eastAsia="zh-CN"/>
        </w:rPr>
        <w:t xml:space="preserve"> </w:t>
      </w:r>
      <w:r>
        <w:rPr>
          <w:rFonts w:hint="eastAsia" w:ascii="宋体" w:hAnsi="宋体"/>
          <w:color w:val="auto"/>
        </w:rPr>
        <w:t>GB 5749</w:t>
      </w:r>
      <w:r>
        <w:rPr>
          <w:rFonts w:hint="eastAsia" w:ascii="宋体" w:hAnsi="宋体"/>
          <w:color w:val="auto"/>
          <w:lang w:val="en-US" w:eastAsia="zh-CN"/>
        </w:rPr>
        <w:t xml:space="preserve"> </w:t>
      </w:r>
      <w:r>
        <w:rPr>
          <w:rFonts w:hint="eastAsia" w:ascii="宋体" w:eastAsia="宋体"/>
          <w:color w:val="auto"/>
        </w:rPr>
        <w:t>的规定。</w:t>
      </w:r>
    </w:p>
    <w:p>
      <w:pPr>
        <w:pStyle w:val="37"/>
        <w:numPr>
          <w:ilvl w:val="2"/>
          <w:numId w:val="0"/>
        </w:numPr>
        <w:spacing w:before="158" w:after="158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5.2.2 绿豆</w:t>
      </w:r>
    </w:p>
    <w:p>
      <w:pPr>
        <w:pStyle w:val="33"/>
        <w:rPr>
          <w:color w:val="auto"/>
        </w:rPr>
      </w:pPr>
      <w:r>
        <w:rPr>
          <w:rFonts w:hint="eastAsia" w:ascii="宋体" w:hAnsi="宋体"/>
          <w:color w:val="auto"/>
        </w:rPr>
        <w:t>应符合</w:t>
      </w:r>
      <w:r>
        <w:rPr>
          <w:rFonts w:hint="eastAsia" w:hAnsi="宋体"/>
          <w:color w:val="auto"/>
          <w:lang w:val="en-US" w:eastAsia="zh-CN"/>
        </w:rPr>
        <w:t xml:space="preserve"> </w:t>
      </w:r>
      <w:r>
        <w:rPr>
          <w:rFonts w:hint="eastAsia" w:ascii="宋体" w:hAnsi="宋体"/>
          <w:color w:val="auto"/>
        </w:rPr>
        <w:t>GB 2715、GB/T 10462</w:t>
      </w:r>
      <w:r>
        <w:rPr>
          <w:rFonts w:hint="eastAsia" w:hAnsi="宋体"/>
          <w:color w:val="auto"/>
          <w:lang w:val="en-US" w:eastAsia="zh-CN"/>
        </w:rPr>
        <w:t xml:space="preserve"> </w:t>
      </w:r>
      <w:r>
        <w:rPr>
          <w:rFonts w:hint="eastAsia" w:ascii="宋体" w:hAnsi="宋体"/>
          <w:color w:val="auto"/>
        </w:rPr>
        <w:t>的规定。</w:t>
      </w:r>
    </w:p>
    <w:p>
      <w:pPr>
        <w:pStyle w:val="37"/>
        <w:numPr>
          <w:ilvl w:val="2"/>
          <w:numId w:val="0"/>
        </w:numPr>
        <w:spacing w:before="158" w:after="158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5.2.3 高粱</w:t>
      </w:r>
    </w:p>
    <w:p>
      <w:pPr>
        <w:spacing w:line="340" w:lineRule="exact"/>
        <w:ind w:firstLine="420" w:firstLineChars="200"/>
        <w:rPr>
          <w:rFonts w:hint="eastAsia" w:ascii="宋体" w:hAnsi="宋体"/>
          <w:color w:val="auto"/>
        </w:rPr>
      </w:pPr>
      <w:r>
        <w:rPr>
          <w:rFonts w:hint="eastAsia" w:ascii="宋体" w:hAnsi="宋体"/>
          <w:color w:val="auto"/>
        </w:rPr>
        <w:t>应符合</w:t>
      </w:r>
      <w:r>
        <w:rPr>
          <w:rFonts w:hint="eastAsia" w:ascii="宋体" w:hAnsi="宋体"/>
          <w:color w:val="auto"/>
          <w:lang w:val="en-US" w:eastAsia="zh-CN"/>
        </w:rPr>
        <w:t xml:space="preserve"> </w:t>
      </w:r>
      <w:r>
        <w:rPr>
          <w:rFonts w:hint="eastAsia" w:ascii="宋体" w:hAnsi="宋体"/>
          <w:color w:val="auto"/>
        </w:rPr>
        <w:t>GB 2715、GB/T 8231</w:t>
      </w:r>
      <w:r>
        <w:rPr>
          <w:rFonts w:hint="eastAsia" w:ascii="宋体" w:hAnsi="宋体"/>
          <w:color w:val="auto"/>
          <w:lang w:val="en-US" w:eastAsia="zh-CN"/>
        </w:rPr>
        <w:t xml:space="preserve"> </w:t>
      </w:r>
      <w:r>
        <w:rPr>
          <w:rFonts w:hint="eastAsia" w:ascii="宋体" w:hAnsi="宋体"/>
          <w:color w:val="auto"/>
        </w:rPr>
        <w:t>的规定。</w:t>
      </w:r>
    </w:p>
    <w:p>
      <w:pPr>
        <w:pStyle w:val="37"/>
        <w:numPr>
          <w:ilvl w:val="2"/>
          <w:numId w:val="0"/>
        </w:numPr>
        <w:spacing w:before="158" w:after="158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5.2.4 小麦</w:t>
      </w:r>
    </w:p>
    <w:p>
      <w:pPr>
        <w:pStyle w:val="33"/>
        <w:spacing w:line="340" w:lineRule="exact"/>
        <w:rPr>
          <w:rFonts w:hAnsi="宋体"/>
          <w:color w:val="auto"/>
        </w:rPr>
      </w:pPr>
      <w:r>
        <w:rPr>
          <w:rFonts w:hint="eastAsia"/>
          <w:color w:val="auto"/>
        </w:rPr>
        <w:t>应符合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 xml:space="preserve">GB </w:t>
      </w:r>
      <w:r>
        <w:rPr>
          <w:rFonts w:hint="eastAsia" w:hAnsi="宋体"/>
          <w:color w:val="auto"/>
        </w:rPr>
        <w:t>1351、GB 2715</w:t>
      </w:r>
      <w:r>
        <w:rPr>
          <w:rFonts w:hint="eastAsia" w:hAnsi="宋体"/>
          <w:color w:val="auto"/>
          <w:lang w:val="en-US" w:eastAsia="zh-CN"/>
        </w:rPr>
        <w:t xml:space="preserve"> </w:t>
      </w:r>
      <w:r>
        <w:rPr>
          <w:rFonts w:hint="eastAsia" w:hAnsi="宋体"/>
          <w:color w:val="auto"/>
        </w:rPr>
        <w:t>的规定。</w:t>
      </w:r>
    </w:p>
    <w:p>
      <w:pPr>
        <w:pStyle w:val="37"/>
        <w:numPr>
          <w:ilvl w:val="2"/>
          <w:numId w:val="0"/>
        </w:numPr>
        <w:spacing w:before="158" w:after="158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5.2.5 大麦</w:t>
      </w:r>
    </w:p>
    <w:p>
      <w:pPr>
        <w:pStyle w:val="33"/>
        <w:spacing w:line="340" w:lineRule="exact"/>
        <w:rPr>
          <w:rFonts w:hint="eastAsia"/>
          <w:color w:val="auto"/>
        </w:rPr>
      </w:pPr>
      <w:r>
        <w:rPr>
          <w:rFonts w:hint="eastAsia"/>
          <w:color w:val="auto"/>
        </w:rPr>
        <w:t>应符合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 w:hAnsi="宋体"/>
          <w:color w:val="auto"/>
        </w:rPr>
        <w:t>GB 2715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的规定。</w:t>
      </w:r>
    </w:p>
    <w:p>
      <w:pPr>
        <w:pStyle w:val="37"/>
        <w:numPr>
          <w:ilvl w:val="2"/>
          <w:numId w:val="0"/>
        </w:numPr>
        <w:spacing w:before="158" w:after="158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5.2.6 豌豆</w:t>
      </w:r>
    </w:p>
    <w:p>
      <w:pPr>
        <w:spacing w:line="340" w:lineRule="exact"/>
        <w:ind w:firstLine="420" w:firstLineChars="200"/>
        <w:rPr>
          <w:rFonts w:hint="eastAsia"/>
          <w:color w:val="auto"/>
        </w:rPr>
      </w:pPr>
      <w:r>
        <w:rPr>
          <w:rFonts w:hint="eastAsia"/>
          <w:color w:val="auto"/>
        </w:rPr>
        <w:t>应符合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</w:rPr>
        <w:t>GB 2715、GB/T 10460</w:t>
      </w:r>
      <w:r>
        <w:rPr>
          <w:rFonts w:hint="eastAsia" w:ascii="宋体" w:hAnsi="宋体" w:cs="宋体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的规定。</w:t>
      </w:r>
    </w:p>
    <w:p>
      <w:pPr>
        <w:spacing w:line="340" w:lineRule="exact"/>
        <w:ind w:firstLine="420" w:firstLineChars="200"/>
        <w:rPr>
          <w:rFonts w:hint="eastAsia"/>
          <w:color w:val="auto"/>
          <w:lang w:val="en-US" w:eastAsia="zh-CN"/>
        </w:rPr>
      </w:pPr>
    </w:p>
    <w:p>
      <w:pPr>
        <w:pStyle w:val="37"/>
        <w:numPr>
          <w:ilvl w:val="2"/>
          <w:numId w:val="0"/>
        </w:numPr>
        <w:spacing w:before="158" w:after="158"/>
        <w:rPr>
          <w:color w:val="auto"/>
        </w:rPr>
      </w:pPr>
      <w:r>
        <w:rPr>
          <w:rFonts w:hint="eastAsia"/>
          <w:color w:val="auto"/>
          <w:lang w:val="en-US" w:eastAsia="zh-CN"/>
        </w:rPr>
        <w:t xml:space="preserve">5.2.7 </w:t>
      </w:r>
      <w:r>
        <w:rPr>
          <w:rFonts w:hint="eastAsia"/>
          <w:color w:val="auto"/>
          <w:lang w:eastAsia="zh-CN"/>
        </w:rPr>
        <w:t>其他原辅料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应符合食品安全国家标准及国家有关规定。</w:t>
      </w:r>
    </w:p>
    <w:p>
      <w:pPr>
        <w:pStyle w:val="35"/>
        <w:numPr>
          <w:ilvl w:val="1"/>
          <w:numId w:val="4"/>
        </w:numPr>
        <w:spacing w:before="158" w:after="158"/>
        <w:ind w:left="0"/>
        <w:rPr>
          <w:rStyle w:val="46"/>
          <w:color w:val="auto"/>
          <w:sz w:val="21"/>
        </w:rPr>
      </w:pPr>
      <w:bookmarkStart w:id="10" w:name="_Toc18406"/>
      <w:bookmarkStart w:id="11" w:name="_Toc17356"/>
      <w:r>
        <w:rPr>
          <w:rStyle w:val="46"/>
          <w:rFonts w:hint="eastAsia"/>
          <w:color w:val="auto"/>
          <w:sz w:val="21"/>
        </w:rPr>
        <w:t>感官要求</w:t>
      </w:r>
    </w:p>
    <w:bookmarkEnd w:id="10"/>
    <w:bookmarkEnd w:id="11"/>
    <w:p>
      <w:pPr>
        <w:pStyle w:val="33"/>
        <w:jc w:val="left"/>
        <w:rPr>
          <w:color w:val="auto"/>
        </w:rPr>
      </w:pPr>
      <w:r>
        <w:rPr>
          <w:rFonts w:hint="eastAsia"/>
          <w:color w:val="auto"/>
        </w:rPr>
        <w:t>应符合表</w:t>
      </w:r>
      <w:r>
        <w:rPr>
          <w:color w:val="auto"/>
        </w:rPr>
        <w:t>1</w:t>
      </w:r>
      <w:r>
        <w:rPr>
          <w:rFonts w:hint="eastAsia"/>
          <w:color w:val="auto"/>
        </w:rPr>
        <w:t>的规定。</w:t>
      </w:r>
    </w:p>
    <w:p>
      <w:pPr>
        <w:widowControl/>
        <w:numPr>
          <w:ilvl w:val="2"/>
          <w:numId w:val="0"/>
        </w:numPr>
        <w:spacing w:afterLines="50"/>
        <w:jc w:val="center"/>
        <w:outlineLvl w:val="2"/>
        <w:rPr>
          <w:rFonts w:hint="eastAsia" w:ascii="黑体" w:eastAsia="黑体"/>
          <w:color w:val="auto"/>
          <w:kern w:val="0"/>
          <w:szCs w:val="21"/>
        </w:rPr>
      </w:pPr>
      <w:r>
        <w:rPr>
          <w:rFonts w:hint="eastAsia" w:ascii="黑体" w:eastAsia="黑体"/>
          <w:color w:val="auto"/>
          <w:kern w:val="0"/>
          <w:szCs w:val="21"/>
        </w:rPr>
        <w:t>表</w:t>
      </w:r>
      <w:r>
        <w:rPr>
          <w:rFonts w:ascii="黑体" w:eastAsia="黑体"/>
          <w:color w:val="auto"/>
          <w:kern w:val="0"/>
          <w:szCs w:val="21"/>
        </w:rPr>
        <w:t xml:space="preserve">1 </w:t>
      </w:r>
      <w:r>
        <w:rPr>
          <w:rFonts w:hint="eastAsia" w:ascii="黑体" w:eastAsia="黑体"/>
          <w:color w:val="auto"/>
          <w:kern w:val="0"/>
          <w:szCs w:val="21"/>
        </w:rPr>
        <w:t>感官要求</w:t>
      </w:r>
    </w:p>
    <w:tbl>
      <w:tblPr>
        <w:tblStyle w:val="23"/>
        <w:tblW w:w="8254" w:type="dxa"/>
        <w:tblInd w:w="7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2711"/>
        <w:gridCol w:w="3079"/>
        <w:gridCol w:w="11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90" w:type="dxa"/>
            <w:vMerge w:val="restart"/>
            <w:vAlign w:val="center"/>
          </w:tcPr>
          <w:p>
            <w:pPr>
              <w:jc w:val="center"/>
              <w:rPr>
                <w:rFonts w:ascii="宋体" w:hAnsi="宋体" w:cs="Calibri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Calibri"/>
                <w:color w:val="auto"/>
                <w:sz w:val="18"/>
                <w:szCs w:val="18"/>
              </w:rPr>
              <w:t>项  目</w:t>
            </w:r>
          </w:p>
        </w:tc>
        <w:tc>
          <w:tcPr>
            <w:tcW w:w="579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Calibri"/>
                <w:color w:val="auto"/>
                <w:sz w:val="18"/>
                <w:szCs w:val="18"/>
              </w:rPr>
              <w:t>要  求</w:t>
            </w:r>
          </w:p>
        </w:tc>
        <w:tc>
          <w:tcPr>
            <w:tcW w:w="117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Calibri"/>
                <w:color w:val="auto"/>
                <w:sz w:val="18"/>
                <w:szCs w:val="18"/>
              </w:rPr>
              <w:t>检验方法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9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71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Calibri"/>
                <w:color w:val="auto"/>
                <w:sz w:val="18"/>
                <w:szCs w:val="18"/>
              </w:rPr>
              <w:t>高度酒</w:t>
            </w:r>
          </w:p>
        </w:tc>
        <w:tc>
          <w:tcPr>
            <w:tcW w:w="307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Calibri"/>
                <w:color w:val="auto"/>
                <w:sz w:val="18"/>
                <w:szCs w:val="18"/>
              </w:rPr>
              <w:t>低度酒</w:t>
            </w:r>
          </w:p>
        </w:tc>
        <w:tc>
          <w:tcPr>
            <w:tcW w:w="117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9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色泽和外观</w:t>
            </w:r>
          </w:p>
        </w:tc>
        <w:tc>
          <w:tcPr>
            <w:tcW w:w="57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33"/>
              <w:ind w:firstLine="0" w:firstLineChars="0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无色或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略呈淡绿色</w:t>
            </w:r>
            <w:r>
              <w:rPr>
                <w:rFonts w:hint="eastAsia"/>
                <w:color w:val="auto"/>
                <w:sz w:val="18"/>
                <w:szCs w:val="18"/>
              </w:rPr>
              <w:t>，清亮透明，无悬浮物，无沉淀</w:t>
            </w:r>
            <w:r>
              <w:rPr>
                <w:rFonts w:hint="eastAsia"/>
                <w:color w:val="auto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7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pStyle w:val="33"/>
              <w:ind w:firstLine="0" w:firstLineChars="0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sz w:val="18"/>
                <w:szCs w:val="18"/>
              </w:rPr>
              <w:t>GB/T 10345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9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香     气</w:t>
            </w:r>
          </w:p>
        </w:tc>
        <w:tc>
          <w:tcPr>
            <w:tcW w:w="2711" w:type="dxa"/>
            <w:tcBorders>
              <w:right w:val="single" w:color="auto" w:sz="4" w:space="0"/>
            </w:tcBorders>
            <w:vAlign w:val="center"/>
          </w:tcPr>
          <w:p>
            <w:pPr>
              <w:pStyle w:val="33"/>
              <w:ind w:firstLine="0" w:firstLineChars="0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豆香、芳香幽雅</w:t>
            </w:r>
          </w:p>
        </w:tc>
        <w:tc>
          <w:tcPr>
            <w:tcW w:w="3079" w:type="dxa"/>
            <w:tcBorders>
              <w:right w:val="single" w:color="auto" w:sz="4" w:space="0"/>
            </w:tcBorders>
            <w:vAlign w:val="center"/>
          </w:tcPr>
          <w:p>
            <w:pPr>
              <w:pStyle w:val="33"/>
              <w:ind w:firstLine="0" w:firstLineChars="0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豆香、芳香优雅</w:t>
            </w:r>
          </w:p>
        </w:tc>
        <w:tc>
          <w:tcPr>
            <w:tcW w:w="117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pStyle w:val="33"/>
              <w:ind w:firstLine="0" w:firstLineChars="0"/>
              <w:jc w:val="center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</w:trPr>
        <w:tc>
          <w:tcPr>
            <w:tcW w:w="129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口     味</w:t>
            </w:r>
          </w:p>
        </w:tc>
        <w:tc>
          <w:tcPr>
            <w:tcW w:w="2711" w:type="dxa"/>
            <w:tcBorders>
              <w:right w:val="single" w:color="auto" w:sz="4" w:space="0"/>
            </w:tcBorders>
            <w:vAlign w:val="center"/>
          </w:tcPr>
          <w:p>
            <w:pPr>
              <w:pStyle w:val="33"/>
              <w:ind w:firstLine="0" w:firstLineChars="0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口味绵柔、甘美醇厚、酒体谐调、尾净味长</w:t>
            </w:r>
          </w:p>
        </w:tc>
        <w:tc>
          <w:tcPr>
            <w:tcW w:w="3079" w:type="dxa"/>
            <w:tcBorders>
              <w:right w:val="single" w:color="auto" w:sz="4" w:space="0"/>
            </w:tcBorders>
            <w:vAlign w:val="center"/>
          </w:tcPr>
          <w:p>
            <w:pPr>
              <w:pStyle w:val="33"/>
              <w:ind w:firstLine="0" w:firstLineChars="0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口味较绵柔、酒体协调、尾爽味净</w:t>
            </w:r>
          </w:p>
        </w:tc>
        <w:tc>
          <w:tcPr>
            <w:tcW w:w="117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pStyle w:val="33"/>
              <w:ind w:firstLine="0" w:firstLineChars="0"/>
              <w:jc w:val="center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29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风     格</w:t>
            </w:r>
          </w:p>
        </w:tc>
        <w:tc>
          <w:tcPr>
            <w:tcW w:w="57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具有本品固有的典型风格</w:t>
            </w:r>
          </w:p>
        </w:tc>
        <w:tc>
          <w:tcPr>
            <w:tcW w:w="117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54" w:type="dxa"/>
            <w:gridSpan w:val="4"/>
            <w:vAlign w:val="center"/>
          </w:tcPr>
          <w:p>
            <w:pPr>
              <w:pStyle w:val="33"/>
              <w:ind w:firstLine="0" w:firstLineChars="0"/>
              <w:rPr>
                <w:color w:val="auto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sz w:val="18"/>
                <w:szCs w:val="18"/>
              </w:rPr>
              <w:t>注：</w:t>
            </w:r>
            <w:r>
              <w:rPr>
                <w:rFonts w:hint="eastAsia"/>
                <w:color w:val="auto"/>
                <w:sz w:val="18"/>
                <w:szCs w:val="18"/>
                <w:vertAlign w:val="superscript"/>
              </w:rPr>
              <w:t>a</w:t>
            </w:r>
            <w:r>
              <w:rPr>
                <w:rFonts w:hint="eastAsia" w:hAnsi="宋体"/>
                <w:color w:val="auto"/>
                <w:sz w:val="18"/>
                <w:szCs w:val="18"/>
              </w:rPr>
              <w:t>当酒的温度低于10℃时，允许出现白色絮状沉淀物质或失光，10℃以上逐渐恢复正常。</w:t>
            </w:r>
          </w:p>
        </w:tc>
      </w:tr>
    </w:tbl>
    <w:p>
      <w:pPr>
        <w:pStyle w:val="35"/>
        <w:numPr>
          <w:ilvl w:val="1"/>
          <w:numId w:val="4"/>
        </w:numPr>
        <w:spacing w:before="158" w:after="158"/>
        <w:ind w:left="0"/>
        <w:rPr>
          <w:color w:val="auto"/>
        </w:rPr>
      </w:pPr>
      <w:bookmarkStart w:id="12" w:name="_Toc30812"/>
      <w:bookmarkStart w:id="13" w:name="_Toc7819"/>
      <w:r>
        <w:rPr>
          <w:rStyle w:val="46"/>
          <w:rFonts w:hint="eastAsia"/>
          <w:color w:val="auto"/>
          <w:sz w:val="21"/>
          <w:lang w:eastAsia="zh-CN"/>
        </w:rPr>
        <w:t>理化</w:t>
      </w:r>
      <w:r>
        <w:rPr>
          <w:rStyle w:val="46"/>
          <w:rFonts w:hint="eastAsia"/>
          <w:color w:val="auto"/>
          <w:sz w:val="21"/>
        </w:rPr>
        <w:t>指标</w:t>
      </w:r>
    </w:p>
    <w:bookmarkEnd w:id="12"/>
    <w:bookmarkEnd w:id="13"/>
    <w:p>
      <w:pPr>
        <w:pStyle w:val="33"/>
        <w:rPr>
          <w:rFonts w:hAnsi="宋体"/>
          <w:color w:val="auto"/>
        </w:rPr>
      </w:pPr>
      <w:r>
        <w:rPr>
          <w:rFonts w:hint="eastAsia" w:hAnsi="宋体"/>
          <w:color w:val="auto"/>
        </w:rPr>
        <w:t>应符合表</w:t>
      </w:r>
      <w:r>
        <w:rPr>
          <w:rFonts w:hAnsi="宋体"/>
          <w:color w:val="auto"/>
        </w:rPr>
        <w:t>2</w:t>
      </w:r>
      <w:r>
        <w:rPr>
          <w:rFonts w:hint="eastAsia" w:hAnsi="宋体"/>
          <w:color w:val="auto"/>
        </w:rPr>
        <w:t>的规定。</w:t>
      </w:r>
    </w:p>
    <w:p>
      <w:pPr>
        <w:pStyle w:val="44"/>
        <w:numPr>
          <w:ilvl w:val="0"/>
          <w:numId w:val="0"/>
        </w:numPr>
        <w:spacing w:beforeLines="0" w:after="158"/>
        <w:rPr>
          <w:rFonts w:hint="eastAsia"/>
          <w:color w:val="auto"/>
        </w:rPr>
      </w:pPr>
      <w:r>
        <w:rPr>
          <w:rFonts w:hint="eastAsia"/>
          <w:color w:val="auto"/>
        </w:rPr>
        <w:t>表</w:t>
      </w:r>
      <w:r>
        <w:rPr>
          <w:color w:val="auto"/>
        </w:rPr>
        <w:t xml:space="preserve">2 </w:t>
      </w:r>
      <w:r>
        <w:rPr>
          <w:rFonts w:hint="eastAsia"/>
          <w:color w:val="auto"/>
          <w:lang w:eastAsia="zh-CN"/>
        </w:rPr>
        <w:t>理化</w:t>
      </w:r>
      <w:r>
        <w:rPr>
          <w:rFonts w:hint="eastAsia"/>
          <w:color w:val="auto"/>
        </w:rPr>
        <w:t>指标</w:t>
      </w:r>
    </w:p>
    <w:tbl>
      <w:tblPr>
        <w:tblStyle w:val="23"/>
        <w:tblW w:w="8239" w:type="dxa"/>
        <w:tblInd w:w="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5"/>
        <w:gridCol w:w="1701"/>
        <w:gridCol w:w="1417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3845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项  目</w:t>
            </w:r>
          </w:p>
        </w:tc>
        <w:tc>
          <w:tcPr>
            <w:tcW w:w="311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Calibri"/>
                <w:color w:val="auto"/>
                <w:sz w:val="18"/>
                <w:szCs w:val="18"/>
                <w:lang w:eastAsia="zh-CN"/>
              </w:rPr>
              <w:t>指</w:t>
            </w:r>
            <w:r>
              <w:rPr>
                <w:rFonts w:hint="eastAsia" w:ascii="宋体" w:hAnsi="宋体" w:cs="Calibri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Calibri"/>
                <w:color w:val="auto"/>
                <w:sz w:val="18"/>
                <w:szCs w:val="18"/>
                <w:lang w:eastAsia="zh-CN"/>
              </w:rPr>
              <w:t>标</w:t>
            </w:r>
            <w:r>
              <w:rPr>
                <w:rFonts w:hint="eastAsia" w:ascii="宋体" w:hAnsi="宋体" w:cs="Calibri"/>
                <w:color w:val="auto"/>
                <w:sz w:val="18"/>
                <w:szCs w:val="18"/>
              </w:rPr>
              <w:t xml:space="preserve">  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检验方法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384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Calibri"/>
                <w:color w:val="auto"/>
                <w:sz w:val="18"/>
                <w:szCs w:val="18"/>
              </w:rPr>
              <w:t>高度酒</w:t>
            </w:r>
          </w:p>
        </w:tc>
        <w:tc>
          <w:tcPr>
            <w:tcW w:w="141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Calibri"/>
                <w:color w:val="auto"/>
                <w:sz w:val="18"/>
                <w:szCs w:val="18"/>
              </w:rPr>
              <w:t>低度酒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3845" w:type="dxa"/>
            <w:vAlign w:val="center"/>
          </w:tcPr>
          <w:p>
            <w:pPr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酒精度/（%vol）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～68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28～4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GB 5009.225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3845" w:type="dxa"/>
            <w:vAlign w:val="center"/>
          </w:tcPr>
          <w:p>
            <w:pPr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总酸（以乙酸计）/(g/L)               ≥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0.40</w:t>
            </w:r>
          </w:p>
        </w:tc>
        <w:tc>
          <w:tcPr>
            <w:tcW w:w="141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0.25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GB/T 10345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3845" w:type="dxa"/>
            <w:vAlign w:val="center"/>
          </w:tcPr>
          <w:p>
            <w:pPr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总酯（以乙酸乙酯计）/(g/L)           ≥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1.50</w:t>
            </w:r>
          </w:p>
        </w:tc>
        <w:tc>
          <w:tcPr>
            <w:tcW w:w="141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1.00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3845" w:type="dxa"/>
            <w:vAlign w:val="center"/>
          </w:tcPr>
          <w:p>
            <w:pPr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固形物/(g/L）                        ≤</w:t>
            </w:r>
          </w:p>
        </w:tc>
        <w:tc>
          <w:tcPr>
            <w:tcW w:w="311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0.80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239" w:type="dxa"/>
            <w:gridSpan w:val="4"/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注：酒精度以标签所示为准，允许误差为±1.0%vol（20℃）。</w:t>
            </w:r>
          </w:p>
        </w:tc>
      </w:tr>
    </w:tbl>
    <w:p>
      <w:pPr>
        <w:pStyle w:val="35"/>
        <w:numPr>
          <w:ilvl w:val="1"/>
          <w:numId w:val="4"/>
        </w:numPr>
        <w:spacing w:before="158" w:after="158"/>
        <w:ind w:left="0"/>
        <w:rPr>
          <w:rStyle w:val="46"/>
          <w:color w:val="auto"/>
          <w:sz w:val="21"/>
        </w:rPr>
      </w:pPr>
      <w:r>
        <w:rPr>
          <w:rStyle w:val="46"/>
          <w:rFonts w:hint="eastAsia"/>
          <w:color w:val="auto"/>
          <w:sz w:val="21"/>
          <w:lang w:eastAsia="zh-CN"/>
        </w:rPr>
        <w:t>安全指标</w:t>
      </w:r>
    </w:p>
    <w:p>
      <w:pPr>
        <w:pStyle w:val="37"/>
        <w:spacing w:before="158" w:after="158"/>
        <w:ind w:firstLine="315" w:firstLineChars="150"/>
        <w:rPr>
          <w:rFonts w:hAnsi="黑体" w:cs="黑体"/>
          <w:color w:val="auto"/>
        </w:rPr>
      </w:pPr>
      <w:r>
        <w:rPr>
          <w:rFonts w:hint="eastAsia" w:ascii="宋体" w:hAnsi="宋体" w:eastAsia="宋体" w:cs="宋体"/>
          <w:color w:val="auto"/>
        </w:rPr>
        <w:t>应符合表</w:t>
      </w:r>
      <w:r>
        <w:rPr>
          <w:rFonts w:ascii="宋体" w:hAnsi="宋体" w:eastAsia="宋体" w:cs="宋体"/>
          <w:color w:val="auto"/>
        </w:rPr>
        <w:t>3</w:t>
      </w:r>
      <w:r>
        <w:rPr>
          <w:rFonts w:hint="eastAsia" w:ascii="宋体" w:hAnsi="宋体" w:eastAsia="宋体" w:cs="宋体"/>
          <w:color w:val="auto"/>
        </w:rPr>
        <w:t>的规定。</w:t>
      </w:r>
    </w:p>
    <w:p>
      <w:pPr>
        <w:pStyle w:val="44"/>
        <w:numPr>
          <w:ilvl w:val="0"/>
          <w:numId w:val="0"/>
        </w:numPr>
        <w:spacing w:beforeLines="0" w:after="158"/>
        <w:rPr>
          <w:rFonts w:hint="eastAsia"/>
          <w:color w:val="auto"/>
          <w:lang w:eastAsia="zh-CN"/>
        </w:rPr>
      </w:pPr>
      <w:r>
        <w:rPr>
          <w:rFonts w:hint="eastAsia"/>
          <w:color w:val="auto"/>
        </w:rPr>
        <w:t>表3</w:t>
      </w:r>
      <w:r>
        <w:rPr>
          <w:rFonts w:hint="eastAsia"/>
          <w:color w:val="auto"/>
          <w:lang w:eastAsia="zh-CN"/>
        </w:rPr>
        <w:t>安全指标</w:t>
      </w:r>
    </w:p>
    <w:tbl>
      <w:tblPr>
        <w:tblStyle w:val="23"/>
        <w:tblW w:w="8222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8"/>
        <w:gridCol w:w="2551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3828" w:type="dxa"/>
            <w:vAlign w:val="center"/>
          </w:tcPr>
          <w:p>
            <w:pPr>
              <w:jc w:val="center"/>
              <w:rPr>
                <w:rFonts w:hint="eastAsia" w:ascii="宋体" w:hAnsi="宋体" w:cs="Calibri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Calibri"/>
                <w:color w:val="auto"/>
                <w:sz w:val="18"/>
                <w:szCs w:val="18"/>
              </w:rPr>
              <w:t>项  目</w:t>
            </w:r>
          </w:p>
        </w:tc>
        <w:tc>
          <w:tcPr>
            <w:tcW w:w="255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Calibri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Calibri"/>
                <w:color w:val="auto"/>
                <w:sz w:val="18"/>
                <w:szCs w:val="18"/>
                <w:lang w:eastAsia="zh-CN"/>
              </w:rPr>
              <w:t>指</w:t>
            </w:r>
            <w:r>
              <w:rPr>
                <w:rFonts w:hint="eastAsia" w:ascii="宋体" w:hAnsi="宋体" w:cs="Calibri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Calibri"/>
                <w:color w:val="auto"/>
                <w:sz w:val="18"/>
                <w:szCs w:val="18"/>
                <w:lang w:eastAsia="zh-CN"/>
              </w:rPr>
              <w:t>标</w:t>
            </w:r>
          </w:p>
        </w:tc>
        <w:tc>
          <w:tcPr>
            <w:tcW w:w="184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Calibri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Calibri"/>
                <w:color w:val="auto"/>
                <w:sz w:val="18"/>
                <w:szCs w:val="18"/>
              </w:rPr>
              <w:t>检验方法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3828" w:type="dxa"/>
            <w:vAlign w:val="center"/>
          </w:tcPr>
          <w:p>
            <w:pPr>
              <w:rPr>
                <w:rFonts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</w:rPr>
              <w:t xml:space="preserve">甲醇/(g/L)                            ≤ </w:t>
            </w:r>
          </w:p>
        </w:tc>
        <w:tc>
          <w:tcPr>
            <w:tcW w:w="255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</w:rPr>
              <w:t>0.6</w:t>
            </w:r>
          </w:p>
        </w:tc>
        <w:tc>
          <w:tcPr>
            <w:tcW w:w="184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</w:rPr>
              <w:t xml:space="preserve"> GB 5009.266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3828" w:type="dxa"/>
            <w:vAlign w:val="center"/>
          </w:tcPr>
          <w:p>
            <w:pPr>
              <w:rPr>
                <w:rFonts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</w:rPr>
              <w:t>铅(以Pb计)/(mg/kg)                   ≤</w:t>
            </w:r>
          </w:p>
        </w:tc>
        <w:tc>
          <w:tcPr>
            <w:tcW w:w="255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</w:rPr>
              <w:t>0.5</w:t>
            </w:r>
          </w:p>
        </w:tc>
        <w:tc>
          <w:tcPr>
            <w:tcW w:w="184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</w:rPr>
              <w:t>GB 5009.12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382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color w:val="auto"/>
                <w:sz w:val="18"/>
                <w:szCs w:val="18"/>
              </w:rPr>
              <w:t xml:space="preserve">氰化物（以HCN计）/(mg/L)        </w:t>
            </w: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</w:rPr>
              <w:t xml:space="preserve">     </w:t>
            </w:r>
            <w:r>
              <w:rPr>
                <w:rFonts w:asciiTheme="minorEastAsia" w:hAnsiTheme="minorEastAsia" w:eastAsiaTheme="minorEastAsia"/>
                <w:color w:val="auto"/>
                <w:sz w:val="18"/>
                <w:szCs w:val="18"/>
              </w:rPr>
              <w:t>≤</w:t>
            </w:r>
          </w:p>
        </w:tc>
        <w:tc>
          <w:tcPr>
            <w:tcW w:w="25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</w:rPr>
              <w:t>5.0</w:t>
            </w:r>
          </w:p>
        </w:tc>
        <w:tc>
          <w:tcPr>
            <w:tcW w:w="184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</w:rPr>
              <w:t>GB 5009.36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</w:trPr>
        <w:tc>
          <w:tcPr>
            <w:tcW w:w="822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ind w:left="473" w:leftChars="54" w:hanging="360" w:hangingChars="200"/>
              <w:jc w:val="left"/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</w:rPr>
              <w:t>注</w:t>
            </w: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</w:rPr>
              <w:t>甲醇和氰化物指标均按100%酒精度折算；其它污染物限量应符合</w:t>
            </w: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</w:rPr>
              <w:t>GB 2762</w:t>
            </w: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</w:rPr>
              <w:t>的要求</w:t>
            </w: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；真菌毒素限量应符合</w:t>
            </w: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</w:rPr>
              <w:t>GB 276</w:t>
            </w: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  <w:lang w:val="en-US" w:eastAsia="zh-CN"/>
              </w:rPr>
              <w:t xml:space="preserve">1 </w:t>
            </w: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</w:rPr>
              <w:t>的要求</w:t>
            </w:r>
            <w:r>
              <w:rPr>
                <w:rFonts w:hint="eastAsia" w:asciiTheme="minorEastAsia" w:hAnsiTheme="minorEastAsia" w:eastAsiaTheme="minorEastAsia"/>
                <w:color w:val="auto"/>
                <w:sz w:val="18"/>
                <w:szCs w:val="18"/>
                <w:lang w:eastAsia="zh-CN"/>
              </w:rPr>
              <w:t>。</w:t>
            </w:r>
          </w:p>
        </w:tc>
      </w:tr>
    </w:tbl>
    <w:p>
      <w:pPr>
        <w:pStyle w:val="35"/>
        <w:numPr>
          <w:ilvl w:val="1"/>
          <w:numId w:val="4"/>
        </w:numPr>
        <w:spacing w:before="158" w:after="158"/>
        <w:ind w:left="0"/>
        <w:rPr>
          <w:rStyle w:val="46"/>
          <w:color w:val="auto"/>
          <w:sz w:val="21"/>
        </w:rPr>
      </w:pPr>
      <w:r>
        <w:rPr>
          <w:rStyle w:val="46"/>
          <w:rFonts w:hint="eastAsia"/>
          <w:color w:val="auto"/>
          <w:sz w:val="21"/>
        </w:rPr>
        <w:t>净含量</w:t>
      </w:r>
    </w:p>
    <w:p>
      <w:pPr>
        <w:pStyle w:val="33"/>
        <w:rPr>
          <w:rFonts w:hAnsi="宋体"/>
          <w:color w:val="auto"/>
          <w:szCs w:val="21"/>
        </w:rPr>
      </w:pPr>
      <w:r>
        <w:rPr>
          <w:rFonts w:hint="eastAsia"/>
          <w:color w:val="auto"/>
        </w:rPr>
        <w:t>应符合国家质量监督检验检疫总局令［</w:t>
      </w:r>
      <w:r>
        <w:rPr>
          <w:color w:val="auto"/>
        </w:rPr>
        <w:t>2005</w:t>
      </w:r>
      <w:r>
        <w:rPr>
          <w:rFonts w:hint="eastAsia"/>
          <w:color w:val="auto"/>
        </w:rPr>
        <w:t>］第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color w:val="auto"/>
        </w:rPr>
        <w:t>75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号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《定量包装商品计量监督管理办法》的规定，</w:t>
      </w:r>
      <w:r>
        <w:rPr>
          <w:rFonts w:hint="eastAsia" w:hAnsi="宋体"/>
          <w:color w:val="auto"/>
          <w:szCs w:val="21"/>
        </w:rPr>
        <w:t>并按照</w:t>
      </w:r>
      <w:r>
        <w:rPr>
          <w:rFonts w:hint="eastAsia" w:hAnsi="宋体"/>
          <w:color w:val="auto"/>
          <w:szCs w:val="21"/>
          <w:lang w:val="en-US" w:eastAsia="zh-CN"/>
        </w:rPr>
        <w:t xml:space="preserve"> </w:t>
      </w:r>
      <w:r>
        <w:rPr>
          <w:rFonts w:hAnsi="宋体"/>
          <w:color w:val="auto"/>
          <w:szCs w:val="21"/>
        </w:rPr>
        <w:t>JJF 1070</w:t>
      </w:r>
      <w:r>
        <w:rPr>
          <w:rFonts w:hint="eastAsia" w:hAnsi="宋体"/>
          <w:color w:val="auto"/>
          <w:szCs w:val="21"/>
          <w:lang w:val="en-US" w:eastAsia="zh-CN"/>
        </w:rPr>
        <w:t xml:space="preserve"> </w:t>
      </w:r>
      <w:r>
        <w:rPr>
          <w:rFonts w:hint="eastAsia" w:hAnsi="宋体"/>
          <w:color w:val="auto"/>
          <w:szCs w:val="21"/>
        </w:rPr>
        <w:t>的规定检验。</w:t>
      </w:r>
    </w:p>
    <w:p>
      <w:pPr>
        <w:pStyle w:val="36"/>
        <w:numPr>
          <w:ilvl w:val="0"/>
          <w:numId w:val="4"/>
        </w:numPr>
        <w:spacing w:before="317" w:after="317"/>
        <w:rPr>
          <w:color w:val="auto"/>
        </w:rPr>
      </w:pPr>
      <w:r>
        <w:rPr>
          <w:rFonts w:hint="eastAsia"/>
          <w:color w:val="auto"/>
        </w:rPr>
        <w:t>食品添加剂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本产品不添加食品添加剂。</w:t>
      </w:r>
    </w:p>
    <w:p>
      <w:pPr>
        <w:pStyle w:val="36"/>
        <w:numPr>
          <w:ilvl w:val="0"/>
          <w:numId w:val="4"/>
        </w:numPr>
        <w:spacing w:before="317" w:after="317"/>
        <w:rPr>
          <w:color w:val="auto"/>
        </w:rPr>
      </w:pPr>
      <w:r>
        <w:rPr>
          <w:rFonts w:hint="eastAsia"/>
          <w:color w:val="auto"/>
        </w:rPr>
        <w:t>生产加工过程的卫生要求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应符合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color w:val="auto"/>
        </w:rPr>
        <w:t>GB 895</w:t>
      </w:r>
      <w:r>
        <w:rPr>
          <w:rFonts w:hint="eastAsia"/>
          <w:color w:val="auto"/>
          <w:lang w:val="en-US" w:eastAsia="zh-CN"/>
        </w:rPr>
        <w:t>1</w:t>
      </w:r>
      <w:r>
        <w:rPr>
          <w:rFonts w:hint="eastAsia"/>
          <w:color w:val="auto"/>
        </w:rPr>
        <w:t>、</w:t>
      </w:r>
      <w:r>
        <w:rPr>
          <w:color w:val="auto"/>
        </w:rPr>
        <w:t>GB 14881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的规定。</w:t>
      </w:r>
    </w:p>
    <w:p>
      <w:pPr>
        <w:pStyle w:val="36"/>
        <w:numPr>
          <w:ilvl w:val="0"/>
          <w:numId w:val="4"/>
        </w:numPr>
        <w:spacing w:before="317" w:after="317"/>
        <w:rPr>
          <w:color w:val="auto"/>
        </w:rPr>
      </w:pPr>
      <w:r>
        <w:rPr>
          <w:rFonts w:hint="eastAsia"/>
          <w:color w:val="auto"/>
        </w:rPr>
        <w:t>检验规则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按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GB/T 10346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的规定执行。</w:t>
      </w:r>
    </w:p>
    <w:p>
      <w:pPr>
        <w:pStyle w:val="36"/>
        <w:spacing w:before="312" w:after="312"/>
        <w:rPr>
          <w:color w:val="auto"/>
        </w:rPr>
      </w:pPr>
      <w:r>
        <w:rPr>
          <w:rFonts w:hint="eastAsia"/>
          <w:color w:val="auto"/>
          <w:lang w:val="en-US" w:eastAsia="zh-CN"/>
        </w:rPr>
        <w:t xml:space="preserve">9 </w:t>
      </w:r>
      <w:r>
        <w:rPr>
          <w:rFonts w:hint="eastAsia"/>
          <w:color w:val="auto"/>
        </w:rPr>
        <w:t>标签、标志</w:t>
      </w:r>
    </w:p>
    <w:p>
      <w:pPr>
        <w:pStyle w:val="33"/>
        <w:rPr>
          <w:color w:val="auto"/>
        </w:rPr>
      </w:pPr>
      <w:r>
        <w:rPr>
          <w:rFonts w:hint="eastAsia"/>
          <w:color w:val="auto"/>
        </w:rPr>
        <w:t>按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GB 2757、GB 7718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</w:rPr>
        <w:t>GB</w:t>
      </w:r>
      <w:r>
        <w:rPr>
          <w:rFonts w:hint="eastAsia"/>
          <w:color w:val="auto"/>
          <w:lang w:val="en-US" w:eastAsia="zh-CN"/>
        </w:rPr>
        <w:t>/T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  <w:lang w:val="en-US" w:eastAsia="zh-CN"/>
        </w:rPr>
        <w:t>191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</w:rPr>
        <w:t>GB/T 10346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的规定执行。</w:t>
      </w:r>
    </w:p>
    <w:p>
      <w:pPr>
        <w:pStyle w:val="36"/>
        <w:spacing w:before="312" w:after="312"/>
        <w:rPr>
          <w:color w:val="auto"/>
        </w:rPr>
      </w:pPr>
      <w:r>
        <w:rPr>
          <w:rFonts w:hint="eastAsia"/>
          <w:color w:val="auto"/>
          <w:lang w:val="en-US" w:eastAsia="zh-CN"/>
        </w:rPr>
        <w:t xml:space="preserve">10 </w:t>
      </w:r>
      <w:r>
        <w:rPr>
          <w:rFonts w:hint="eastAsia"/>
          <w:color w:val="auto"/>
        </w:rPr>
        <w:t>包装、运输、贮存和产品召回</w:t>
      </w:r>
    </w:p>
    <w:p>
      <w:pPr>
        <w:pStyle w:val="33"/>
        <w:rPr>
          <w:rFonts w:hAnsi="宋体"/>
          <w:color w:val="auto"/>
          <w:kern w:val="2"/>
          <w:sz w:val="22"/>
          <w:szCs w:val="22"/>
        </w:rPr>
      </w:pPr>
      <w:r>
        <w:rPr>
          <w:rFonts w:hint="eastAsia"/>
          <w:color w:val="auto"/>
        </w:rPr>
        <w:t>按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GB 14881、GB/T 10346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的规定执行。</w:t>
      </w:r>
    </w:p>
    <w:p>
      <w:pPr>
        <w:pStyle w:val="45"/>
        <w:framePr w:vAnchor="text" w:hAnchor="page" w:x="4176" w:y="786"/>
        <w:jc w:val="center"/>
        <w:rPr>
          <w:color w:val="auto"/>
        </w:rPr>
      </w:pPr>
      <w:r>
        <w:rPr>
          <w:color w:val="auto"/>
        </w:rPr>
        <w:t>_________________________________</w:t>
      </w:r>
    </w:p>
    <w:p>
      <w:pPr>
        <w:spacing w:beforeLines="50" w:afterLines="50"/>
        <w:ind w:firstLine="105" w:firstLineChars="50"/>
        <w:rPr>
          <w:rFonts w:hAnsi="宋体"/>
          <w:color w:val="auto"/>
          <w:szCs w:val="22"/>
        </w:rPr>
      </w:pPr>
    </w:p>
    <w:sectPr>
      <w:headerReference r:id="rId11" w:type="default"/>
      <w:footerReference r:id="rId13" w:type="default"/>
      <w:headerReference r:id="rId12" w:type="even"/>
      <w:footerReference r:id="rId14" w:type="even"/>
      <w:pgSz w:w="11906" w:h="16838"/>
      <w:pgMar w:top="1418" w:right="1134" w:bottom="1134" w:left="1418" w:header="1418" w:footer="1134" w:gutter="0"/>
      <w:pgNumType w:start="1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619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7O2ELcBAABUAwAADgAAAGRycy9lMm9Eb2MueG1srVPNahsxEL4H+g5C&#10;93rXBgd3sRxaQkqgtIUkDyBrJa9Af2hk7/oF2jfoKZfc81x+joxkr1OaW+hFO6MZffN9M7PLq8Ea&#10;spMRtHeMTic1JdIJ32q3YfTh/ubjghJI3LXceCcZ3UugV6sPF8s+NHLmO29aGQmCOGj6wGiXUmiq&#10;CkQnLYeJD9JhUPloeUI3bqo28h7RralmdX1Z9T62IXohAfD2+hikq4KvlBTph1IgEzGMIrdUzljO&#10;dT6r1ZI3m8hDp8WJBn8HC8u1w6JnqGueONlG/QbKahE9eJUmwtvKK6WFLBpQzbT+R81dx4MsWrA5&#10;EM5tgv8HK77vfkaiW0bnlDhucUSHP78Pj8+Hp19kntvTB2gw6y5gXhq++AHHPN4DXmbVg4o2f1EP&#10;wTg2en9urhwSEfnRYrZY1BgSGBsdxK9en4cI6av0lmSD0YjTK03lu2+QjqljSq7m/I02pkzQONIz&#10;+mk+m5cH5wiCG4c1sogj2WylYT2clK19u0dhPW4Aow5XlBJz67DBeVlGI47GejS2IepNhxynpR6E&#10;z9uEbArJXOEIeyqMoysyT2uWd+Nvv2S9/gyr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X&#10;s7YQ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721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MbXlbcBAABUAwAADgAAAGRycy9lMm9Eb2MueG1srVPNahsxEL4X+g5C&#10;93rXhhh3sRxaQkqhJIU0DyBrJa9Af4xk7/oFmjfIKZfc+1x+jo5krxPaW8hFO6MZffN9M7PLy8Ea&#10;spMQtXeMTic1JdIJ32q3YfT+1/WnBSUxcddy451kdC8jvVx9/LDsQyNnvvOmlUAQxMWmD4x2KYWm&#10;qqLopOVx4oN0GFQeLE/owqZqgfeIbk01q+t51XtoA3ghY8Tbq2OQrgq+UlKkW6WiTMQwitxSOaGc&#10;63xWqyVvNsBDp8WJBn8DC8u1w6JnqCueONmC/g/KagE+epUmwtvKK6WFLBpQzbT+R81dx4MsWrA5&#10;MZzbFN8PVtzsfgLRLaNzShy3OKLD48Ph6c/h+TeZ5/b0ITaYdRcwLw1f/YBjHu8jXmbVgwKbv6iH&#10;YBwbvT83Vw6JiPxoMVssagwJjI0O4lcvzwPE9E16S7LBKOD0SlP57kdMx9QxJVdz/lobUyZoHOkZ&#10;/XwxuygPzhEENw5rZBFHstlKw3o4KVv7do/CetwARh2uKCXmu8MG52UZDRiN9WhsA+hNhxynpV4M&#10;X7YJ2RSSucIR9lQYR1dkntYs78Zrv2S9/Ayr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Cw&#10;xteV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5848350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60.5pt;margin-top:8.15pt;height:144pt;width:144pt;mso-position-horizontal-relative:margin;mso-wrap-style:none;z-index:251658240;mso-width-relative:page;mso-height-relative:page;" filled="f" stroked="f" coordsize="21600,21600" o:gfxdata="UEsDBAoAAAAAAIdO4kAAAAAAAAAAAAAAAAAEAAAAZHJzL1BLAwQUAAAACACHTuJAtubgldcAAAAL&#10;AQAADwAAAGRycy9kb3ducmV2LnhtbE2PwU7DMBBE70j8g7VI3KidBJU2xOmhEhduFFSJmxtv4wh7&#10;Hdlumvw97gmOOzOafdPsZmfZhCEOniQUKwEMqfN6oF7C1+fb0wZYTIq0sp5QwoIRdu39XaNq7a/0&#10;gdMh9SyXUKyVBJPSWHMeO4NOxZUfkbJ39sGplM/Qcx3UNZc7y0sh1typgfIHo0bcG+x+Dhcn4WU+&#10;ehwj7vH7PHXBDMvGvi9SPj4U4hVYwjn9heGGn9GhzUwnfyEdmZWwLYu8JWVjXQG7BUqxzcpJQiWe&#10;K+Btw/9vaH8BUEsDBBQAAAAIAIdO4kAt6gjpuAEAAFQDAAAOAAAAZHJzL2Uyb0RvYy54bWytU0tu&#10;2zAQ3QfoHQjua8kGkjiC6aBFkCJAkBZIegCaIi0C/IFDW/IFkht01U33PZfP0SFtOUWzC7qhZjjD&#10;N+/NjBbXgzVkKyNo7xidTmpKpBO+1W7N6Pen249zSiBx13LjnWR0J4FeLz+cLfrQyJnvvGllJAji&#10;oOkDo11KoakqEJ20HCY+SIdB5aPlCd24rtrIe0S3pprV9UXV+9iG6IUEwNubQ5AuC75SUqSvSoFM&#10;xDCK3FI5YzlX+ayWC96sIw+dFkca/B0sLNcOi56gbnjiZBP1GyirRfTgVZoIbyuvlBayaEA10/of&#10;NY8dD7JoweZAOLUJ/h+seNh+i0S3jF5S4rjFEe1/vOx//t7/eiaXuT19gAazHgPmpeGzH3DM4z3g&#10;ZVY9qGjzF/UQjGOjd6fmyiERkR/NZ/N5jSGBsdFB/Or1eYiQvkhvSTYYjTi90lS+vYd0SB1TcjXn&#10;b7UxZYLGkZ7Rq/PZeXlwiiC4cVgjiziQzVYaVsNR2cq3OxTW4wYw6nBFKTF3Dhucl2U04misRmMT&#10;ol53yHFa6kH4tEnIppDMFQ6wx8I4uiLzuGZ5N/72S9brz7D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bm4JXXAAAACwEAAA8AAAAAAAAAAQAgAAAAIgAAAGRycy9kb3ducmV2LnhtbFBLAQIUABQA&#10;AAAIAIdO4kAt6gjpuAEAAFQDAAAOAAAAAAAAAAEAIAAAACY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2"/>
      <w:jc w:val="right"/>
    </w:pPr>
  </w:p>
  <w:p>
    <w:pPr>
      <w:pStyle w:val="12"/>
      <w:jc w:val="both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right"/>
      <w:rPr>
        <w:rFonts w:ascii="宋体" w:cs="宋体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II</w:t>
                          </w:r>
                          <w:r>
                            <w:fldChar w:fldCharType="end"/>
                          </w:r>
                          <w:r>
                            <w:t xml:space="preserve">      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UN/FLcBAABUAwAADgAAAGRycy9lMm9Eb2MueG1srVNLbtswEN0H6B0I&#10;7mPJBlIogumgQZCiQNEGSHIAmiItAvxhSFvyBdobdNVN9z2Xz9EhbTlFswu6oWY4wzfz3oyWN6M1&#10;ZCchau8Ync9qSqQTvtNuw+jz0/1lQ0lM3HXceCcZ3ctIb1bvLpZDaOXC9950EgiCuNgOgdE+pdBW&#10;VRS9tDzOfJAOg8qD5Qld2FQd8AHRrakWdf2+Gjx0AbyQMeLt3TFIVwVfKSnSV6WiTMQwir2lckI5&#10;1/msVkveboCHXotTG/wNXViuHRY9Q93xxMkW9CsoqwX46FWaCW8rr5QWsnBANvP6HzaPPQ+ycEFx&#10;YjjLFP8frPiyewCiO0ZxUI5bHNHhx/fDz9+HX99Ik+UZQmwx6zFgXhpv/Yhjnu4jXmbWowKbv8iH&#10;YByF3p/FlWMiIj9qFk1TY0hgbHIQv3p5HiCmj9Jbkg1GAadXROW7zzEdU6eUXM35e21MmaBxZGD0&#10;+mpxVR6cIwhuHNbIJI7NZiuN6/HEbO27PRIbcAMYdbiilJhPDgXOyzIZMBnrydgG0Jsee5yXejF8&#10;2CbspjSZKxxhT4VxdIXmac3ybvztl6yXn2H1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DV&#10;Q38U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II</w:t>
                    </w:r>
                    <w:r>
                      <w:fldChar w:fldCharType="end"/>
                    </w:r>
                    <w:r>
                      <w:t xml:space="preserve">      </w:t>
                    </w:r>
                  </w:p>
                </w:txbxContent>
              </v:textbox>
            </v:shape>
          </w:pict>
        </mc:Fallback>
      </mc:AlternateContent>
    </w:r>
  </w:p>
  <w:p>
    <w:pPr>
      <w:pStyle w:val="12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left="840"/>
      <w:jc w:val="right"/>
    </w:pPr>
  </w:p>
  <w:p>
    <w:pPr>
      <w:pStyle w:val="12"/>
      <w:ind w:left="840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left="840"/>
    </w:pPr>
  </w:p>
  <w:p>
    <w:pPr>
      <w:pStyle w:val="12"/>
      <w:ind w:left="840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9"/>
      <w:framePr w:w="0" w:hRule="auto" w:hSpace="0" w:vSpace="0" w:wrap="auto" w:vAnchor="margin" w:hAnchor="text" w:xAlign="left" w:yAlign="inline"/>
      <w:tabs>
        <w:tab w:val="left" w:pos="8222"/>
      </w:tabs>
      <w:ind w:right="-483" w:rightChars="-230" w:firstLine="478" w:firstLineChars="282"/>
      <w:rPr>
        <w:sz w:val="13"/>
        <w:szCs w:val="13"/>
      </w:rPr>
    </w:pPr>
  </w:p>
  <w:p>
    <w:pPr>
      <w:pStyle w:val="59"/>
      <w:framePr w:x="4965" w:y="961"/>
    </w:pPr>
    <w:r>
      <w:t>TAHFIA</w:t>
    </w:r>
  </w:p>
  <w:p>
    <w:pPr>
      <w:pStyle w:val="59"/>
      <w:framePr w:w="0" w:hRule="auto" w:hSpace="0" w:vSpace="0" w:wrap="auto" w:vAnchor="margin" w:hAnchor="text" w:xAlign="left" w:yAlign="inline"/>
      <w:tabs>
        <w:tab w:val="left" w:pos="8222"/>
      </w:tabs>
      <w:ind w:right="-483" w:rightChars="-230" w:firstLine="3519" w:firstLineChars="282"/>
      <w:rPr>
        <w:b w:val="0"/>
      </w:rPr>
    </w:pPr>
  </w:p>
  <w:p>
    <w:pPr>
      <w:pStyle w:val="60"/>
      <w:framePr w:hSpace="0" w:vSpace="0" w:wrap="auto" w:vAnchor="margin" w:hAnchor="text" w:xAlign="left" w:yAlign="inline"/>
      <w:widowControl w:val="0"/>
      <w:ind w:right="-1050" w:rightChars="-500"/>
      <w:rPr>
        <w:sz w:val="18"/>
        <w:szCs w:val="20"/>
      </w:rPr>
    </w:pPr>
  </w:p>
  <w:p>
    <w:pPr>
      <w:pStyle w:val="60"/>
      <w:framePr w:w="9708"/>
      <w:rPr>
        <w:rFonts w:ascii="Times New Roman" w:hAnsi="Times New Roman"/>
        <w:sz w:val="52"/>
      </w:rPr>
    </w:pPr>
    <w:r>
      <w:rPr>
        <w:rFonts w:hint="eastAsia"/>
        <w:sz w:val="52"/>
      </w:rPr>
      <w:t>安徽省食品行业协会团体标</w:t>
    </w:r>
    <w:r>
      <w:rPr>
        <w:rFonts w:hint="eastAsia" w:ascii="Times New Roman" w:hAnsi="Times New Roman"/>
        <w:sz w:val="52"/>
      </w:rPr>
      <w:t>准</w:t>
    </w:r>
  </w:p>
  <w:p>
    <w:pPr>
      <w:pStyle w:val="60"/>
      <w:framePr w:hSpace="0" w:vSpace="0" w:wrap="auto" w:vAnchor="margin" w:hAnchor="text" w:xAlign="left" w:yAlign="inline"/>
      <w:widowControl w:val="0"/>
      <w:ind w:right="-1050" w:rightChars="-500"/>
    </w:pPr>
  </w:p>
  <w:p>
    <w:pPr>
      <w:spacing w:before="300" w:line="54" w:lineRule="exact"/>
      <w:ind w:right="-475" w:rightChars="-226"/>
      <w:jc w:val="right"/>
      <w:rPr>
        <w:rFonts w:ascii="黑体" w:hAnsi="黑体" w:eastAsia="黑体"/>
        <w:sz w:val="2"/>
        <w:szCs w:val="2"/>
      </w:rPr>
    </w:pPr>
  </w:p>
  <w:p>
    <w:pPr>
      <w:spacing w:before="300" w:line="54" w:lineRule="exact"/>
      <w:ind w:right="-475" w:rightChars="-226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  <w:rPr>
        <w:rFonts w:ascii="黑体" w:hAnsi="黑体" w:eastAsia="黑体"/>
      </w:rPr>
    </w:pPr>
    <w:r>
      <w:rPr>
        <w:rFonts w:ascii="黑体" w:hAnsi="黑体" w:eastAsia="黑体"/>
      </w:rPr>
      <w:t xml:space="preserve"> DB 34/T XXXX—2017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  <w:rPr>
        <w:rFonts w:hint="eastAsia" w:ascii="黑体" w:hAnsi="黑体" w:eastAsia="黑体"/>
        <w:lang w:val="en-US" w:eastAsia="zh-CN"/>
      </w:rPr>
    </w:pPr>
    <w:r>
      <w:rPr>
        <w:rFonts w:ascii="黑体" w:hAnsi="黑体" w:eastAsia="黑体"/>
      </w:rPr>
      <w:t xml:space="preserve"> T/AHFIA </w:t>
    </w:r>
    <w:r>
      <w:rPr>
        <w:rFonts w:hint="eastAsia" w:ascii="黑体" w:hAnsi="黑体" w:eastAsia="黑体"/>
        <w:lang w:val="en-US" w:eastAsia="zh-CN"/>
      </w:rPr>
      <w:t>026</w:t>
    </w:r>
    <w:r>
      <w:rPr>
        <w:rFonts w:ascii="黑体" w:hAnsi="黑体" w:eastAsia="黑体"/>
      </w:rPr>
      <w:t>-201</w:t>
    </w:r>
    <w:r>
      <w:rPr>
        <w:rFonts w:hint="eastAsia" w:ascii="黑体" w:hAnsi="黑体" w:eastAsia="黑体"/>
        <w:lang w:val="en-US" w:eastAsia="zh-CN"/>
      </w:rPr>
      <w:t>9</w:t>
    </w:r>
  </w:p>
  <w:p>
    <w:pPr>
      <w:jc w:val="right"/>
      <w:rPr>
        <w:rFonts w:ascii="黑体" w:hAnsi="黑体" w:eastAsia="黑体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rPr>
        <w:rFonts w:ascii="黑体" w:hAnsi="黑体" w:eastAsia="黑体"/>
      </w:rPr>
      <w:t xml:space="preserve">                                                                        T/AHFIA XXX-2018</w:t>
    </w:r>
  </w:p>
  <w:p>
    <w:pPr>
      <w:jc w:val="center"/>
      <w:rPr>
        <w:rFonts w:ascii="黑体" w:hAnsi="黑体" w:eastAsia="黑体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  <w:tabs>
        <w:tab w:val="right" w:pos="9356"/>
        <w:tab w:val="clear" w:pos="8306"/>
      </w:tabs>
      <w:jc w:val="right"/>
      <w:rPr>
        <w:rFonts w:hint="eastAsia" w:ascii="黑体" w:hAnsi="黑体" w:eastAsia="黑体"/>
        <w:sz w:val="21"/>
        <w:szCs w:val="21"/>
        <w:lang w:eastAsia="zh-CN"/>
      </w:rPr>
    </w:pPr>
    <w:r>
      <w:rPr>
        <w:rFonts w:ascii="黑体" w:hAnsi="黑体" w:eastAsia="黑体"/>
        <w:sz w:val="21"/>
        <w:szCs w:val="21"/>
      </w:rPr>
      <w:t xml:space="preserve">T/AHFIA </w:t>
    </w:r>
    <w:r>
      <w:rPr>
        <w:rFonts w:hint="eastAsia" w:ascii="黑体" w:hAnsi="黑体" w:eastAsia="黑体"/>
        <w:sz w:val="21"/>
        <w:szCs w:val="21"/>
        <w:lang w:val="en-US" w:eastAsia="zh-CN"/>
      </w:rPr>
      <w:t>026</w:t>
    </w:r>
    <w:r>
      <w:rPr>
        <w:rFonts w:ascii="黑体" w:hAnsi="黑体" w:eastAsia="黑体"/>
        <w:sz w:val="21"/>
        <w:szCs w:val="21"/>
      </w:rPr>
      <w:t>-201</w:t>
    </w:r>
    <w:r>
      <w:rPr>
        <w:rFonts w:hint="eastAsia" w:ascii="黑体" w:hAnsi="黑体" w:eastAsia="黑体"/>
        <w:sz w:val="21"/>
        <w:szCs w:val="21"/>
        <w:lang w:val="en-US" w:eastAsia="zh-CN"/>
      </w:rPr>
      <w:t>9</w:t>
    </w:r>
  </w:p>
  <w:p>
    <w:pPr>
      <w:pStyle w:val="13"/>
      <w:pBdr>
        <w:bottom w:val="none" w:color="auto" w:sz="0" w:space="0"/>
      </w:pBdr>
      <w:tabs>
        <w:tab w:val="right" w:pos="9356"/>
        <w:tab w:val="clear" w:pos="8306"/>
      </w:tabs>
      <w:jc w:val="right"/>
      <w:rPr>
        <w:rFonts w:ascii="黑体" w:hAnsi="黑体" w:eastAsia="黑体"/>
        <w:sz w:val="21"/>
        <w:szCs w:val="21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黑体" w:hAnsi="黑体" w:eastAsia="黑体"/>
        <w:szCs w:val="21"/>
        <w:lang w:eastAsia="zh-CN"/>
      </w:rPr>
    </w:pPr>
    <w:r>
      <w:rPr>
        <w:rFonts w:ascii="黑体" w:hAnsi="黑体" w:eastAsia="黑体"/>
        <w:szCs w:val="21"/>
      </w:rPr>
      <w:t xml:space="preserve">T/AHFIA </w:t>
    </w:r>
    <w:r>
      <w:rPr>
        <w:rFonts w:hint="eastAsia" w:ascii="黑体" w:hAnsi="黑体" w:eastAsia="黑体"/>
        <w:szCs w:val="21"/>
        <w:lang w:val="en-US" w:eastAsia="zh-CN"/>
      </w:rPr>
      <w:t>026</w:t>
    </w:r>
    <w:r>
      <w:rPr>
        <w:rFonts w:ascii="黑体" w:hAnsi="黑体" w:eastAsia="黑体"/>
        <w:szCs w:val="21"/>
      </w:rPr>
      <w:t>-201</w:t>
    </w:r>
    <w:r>
      <w:rPr>
        <w:rFonts w:hint="eastAsia" w:ascii="黑体" w:hAnsi="黑体" w:eastAsia="黑体"/>
        <w:szCs w:val="21"/>
        <w:lang w:val="en-US" w:eastAsia="zh-CN"/>
      </w:rPr>
      <w:t>9</w:t>
    </w:r>
  </w:p>
  <w:p>
    <w:pPr>
      <w:rPr>
        <w:rFonts w:ascii="黑体" w:hAnsi="黑体" w:eastAsia="黑体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A1E27"/>
    <w:multiLevelType w:val="multilevel"/>
    <w:tmpl w:val="032A1E27"/>
    <w:lvl w:ilvl="0" w:tentative="0">
      <w:start w:val="1"/>
      <w:numFmt w:val="decimal"/>
      <w:pStyle w:val="43"/>
      <w:lvlText w:val="%1."/>
      <w:lvlJc w:val="left"/>
      <w:pPr>
        <w:tabs>
          <w:tab w:val="left" w:pos="720"/>
        </w:tabs>
        <w:ind w:left="720" w:hanging="720"/>
      </w:pPr>
      <w:rPr>
        <w:rFonts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  <w:rPr>
        <w:rFonts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  <w:rPr>
        <w:rFonts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  <w:rPr>
        <w:rFonts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  <w:rPr>
        <w:rFonts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  <w:rPr>
        <w:rFonts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  <w:rPr>
        <w:rFonts w:cs="Times New Roman"/>
      </w:rPr>
    </w:lvl>
  </w:abstractNum>
  <w:abstractNum w:abstractNumId="1">
    <w:nsid w:val="079102AD"/>
    <w:multiLevelType w:val="multilevel"/>
    <w:tmpl w:val="079102AD"/>
    <w:lvl w:ilvl="0" w:tentative="0">
      <w:start w:val="1"/>
      <w:numFmt w:val="decimal"/>
      <w:pStyle w:val="52"/>
      <w:suff w:val="nothing"/>
      <w:lvlText w:val="注%1："/>
      <w:lvlJc w:val="left"/>
      <w:pPr>
        <w:ind w:left="811" w:hanging="448"/>
      </w:pPr>
      <w:rPr>
        <w:rFonts w:hint="eastAsia" w:ascii="黑体" w:eastAsia="黑体" w:cs="Times New Roman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 w:cs="Times New Roman"/>
      </w:rPr>
    </w:lvl>
  </w:abstractNum>
  <w:abstractNum w:abstractNumId="2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rPr>
        <w:rFonts w:hint="eastAsia" w:ascii="黑体" w:hAnsi="Times New Roman" w:eastAsia="黑体" w:cs="Times New Roman"/>
        <w:b w:val="0"/>
        <w:i w:val="0"/>
        <w:sz w:val="21"/>
        <w:szCs w:val="21"/>
      </w:rPr>
    </w:lvl>
    <w:lvl w:ilvl="1" w:tentative="0">
      <w:start w:val="1"/>
      <w:numFmt w:val="decimal"/>
      <w:suff w:val="nothing"/>
      <w:lvlText w:val="%1.%2　"/>
      <w:lvlJc w:val="left"/>
      <w:pPr>
        <w:ind w:left="1277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suff w:val="nothing"/>
      <w:lvlText w:val="%1.%2.%3　"/>
      <w:lvlJc w:val="left"/>
      <w:pPr>
        <w:ind w:left="284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 w:cs="Times New Roman"/>
      </w:rPr>
    </w:lvl>
  </w:abstractNum>
  <w:abstractNum w:abstractNumId="3">
    <w:nsid w:val="557C2AF5"/>
    <w:multiLevelType w:val="multilevel"/>
    <w:tmpl w:val="557C2AF5"/>
    <w:lvl w:ilvl="0" w:tentative="0">
      <w:start w:val="1"/>
      <w:numFmt w:val="decimal"/>
      <w:pStyle w:val="44"/>
      <w:suff w:val="nothing"/>
      <w:lvlText w:val="图%1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317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63D"/>
    <w:rsid w:val="00001BD8"/>
    <w:rsid w:val="00001F25"/>
    <w:rsid w:val="0000277A"/>
    <w:rsid w:val="000028D0"/>
    <w:rsid w:val="00002DD9"/>
    <w:rsid w:val="00002F84"/>
    <w:rsid w:val="00004506"/>
    <w:rsid w:val="000045D8"/>
    <w:rsid w:val="00004A13"/>
    <w:rsid w:val="00004ADC"/>
    <w:rsid w:val="00004CCD"/>
    <w:rsid w:val="00005523"/>
    <w:rsid w:val="000057DD"/>
    <w:rsid w:val="00005974"/>
    <w:rsid w:val="00005EB2"/>
    <w:rsid w:val="00006035"/>
    <w:rsid w:val="000065BB"/>
    <w:rsid w:val="000077DE"/>
    <w:rsid w:val="00007FF9"/>
    <w:rsid w:val="00010258"/>
    <w:rsid w:val="00010B75"/>
    <w:rsid w:val="00010FBE"/>
    <w:rsid w:val="00011316"/>
    <w:rsid w:val="00011BC2"/>
    <w:rsid w:val="00011DFA"/>
    <w:rsid w:val="00012DE1"/>
    <w:rsid w:val="00012EFE"/>
    <w:rsid w:val="00012FDB"/>
    <w:rsid w:val="00014065"/>
    <w:rsid w:val="0001590E"/>
    <w:rsid w:val="000160D0"/>
    <w:rsid w:val="0001659D"/>
    <w:rsid w:val="000165BC"/>
    <w:rsid w:val="00017055"/>
    <w:rsid w:val="000178CE"/>
    <w:rsid w:val="0001797F"/>
    <w:rsid w:val="00020165"/>
    <w:rsid w:val="000208E1"/>
    <w:rsid w:val="000219CA"/>
    <w:rsid w:val="00021C63"/>
    <w:rsid w:val="00022179"/>
    <w:rsid w:val="00024154"/>
    <w:rsid w:val="000246E1"/>
    <w:rsid w:val="00024AE8"/>
    <w:rsid w:val="00024DD8"/>
    <w:rsid w:val="00025159"/>
    <w:rsid w:val="00025EC6"/>
    <w:rsid w:val="00030CE2"/>
    <w:rsid w:val="00031FF0"/>
    <w:rsid w:val="000322F9"/>
    <w:rsid w:val="0003292D"/>
    <w:rsid w:val="00032B52"/>
    <w:rsid w:val="00032EB0"/>
    <w:rsid w:val="000330DC"/>
    <w:rsid w:val="00033DFE"/>
    <w:rsid w:val="0003518B"/>
    <w:rsid w:val="00036447"/>
    <w:rsid w:val="00036522"/>
    <w:rsid w:val="00037729"/>
    <w:rsid w:val="00037739"/>
    <w:rsid w:val="00037EAB"/>
    <w:rsid w:val="000405B3"/>
    <w:rsid w:val="000422E0"/>
    <w:rsid w:val="00042CF1"/>
    <w:rsid w:val="00042EC8"/>
    <w:rsid w:val="0004315D"/>
    <w:rsid w:val="000431CC"/>
    <w:rsid w:val="00043242"/>
    <w:rsid w:val="00043636"/>
    <w:rsid w:val="00043AE1"/>
    <w:rsid w:val="00044363"/>
    <w:rsid w:val="00044A60"/>
    <w:rsid w:val="000460DC"/>
    <w:rsid w:val="000471EA"/>
    <w:rsid w:val="000474D8"/>
    <w:rsid w:val="00050B10"/>
    <w:rsid w:val="00050D40"/>
    <w:rsid w:val="00050E42"/>
    <w:rsid w:val="00051103"/>
    <w:rsid w:val="000511B3"/>
    <w:rsid w:val="000534F5"/>
    <w:rsid w:val="00054FBF"/>
    <w:rsid w:val="00055B51"/>
    <w:rsid w:val="000604B1"/>
    <w:rsid w:val="00061018"/>
    <w:rsid w:val="0006184A"/>
    <w:rsid w:val="000619B6"/>
    <w:rsid w:val="00061D80"/>
    <w:rsid w:val="00061DEB"/>
    <w:rsid w:val="00062C6A"/>
    <w:rsid w:val="0006301B"/>
    <w:rsid w:val="00063206"/>
    <w:rsid w:val="00065FC1"/>
    <w:rsid w:val="0006660E"/>
    <w:rsid w:val="0006672D"/>
    <w:rsid w:val="000668A5"/>
    <w:rsid w:val="00066979"/>
    <w:rsid w:val="00070123"/>
    <w:rsid w:val="00072354"/>
    <w:rsid w:val="00072F4B"/>
    <w:rsid w:val="000732FF"/>
    <w:rsid w:val="00074EEC"/>
    <w:rsid w:val="000755EC"/>
    <w:rsid w:val="00075623"/>
    <w:rsid w:val="0007596E"/>
    <w:rsid w:val="00075A34"/>
    <w:rsid w:val="0007615A"/>
    <w:rsid w:val="000768B0"/>
    <w:rsid w:val="00076F4E"/>
    <w:rsid w:val="000770D4"/>
    <w:rsid w:val="00077BF6"/>
    <w:rsid w:val="00080041"/>
    <w:rsid w:val="000802C0"/>
    <w:rsid w:val="0008099E"/>
    <w:rsid w:val="00080C72"/>
    <w:rsid w:val="00080D0B"/>
    <w:rsid w:val="0008113E"/>
    <w:rsid w:val="00082430"/>
    <w:rsid w:val="000836B1"/>
    <w:rsid w:val="00083CE6"/>
    <w:rsid w:val="00084418"/>
    <w:rsid w:val="00084589"/>
    <w:rsid w:val="000847E7"/>
    <w:rsid w:val="00085D2D"/>
    <w:rsid w:val="00086540"/>
    <w:rsid w:val="0008661C"/>
    <w:rsid w:val="00086790"/>
    <w:rsid w:val="000869DD"/>
    <w:rsid w:val="000872B6"/>
    <w:rsid w:val="000910EB"/>
    <w:rsid w:val="00091730"/>
    <w:rsid w:val="00091E0C"/>
    <w:rsid w:val="000923FB"/>
    <w:rsid w:val="0009282A"/>
    <w:rsid w:val="0009364D"/>
    <w:rsid w:val="00093D7B"/>
    <w:rsid w:val="000953A1"/>
    <w:rsid w:val="00095DD5"/>
    <w:rsid w:val="000A03FE"/>
    <w:rsid w:val="000A05BB"/>
    <w:rsid w:val="000A0F62"/>
    <w:rsid w:val="000A336E"/>
    <w:rsid w:val="000A47E7"/>
    <w:rsid w:val="000A4A7F"/>
    <w:rsid w:val="000A4D18"/>
    <w:rsid w:val="000A5260"/>
    <w:rsid w:val="000A55F2"/>
    <w:rsid w:val="000A6775"/>
    <w:rsid w:val="000A7205"/>
    <w:rsid w:val="000B074E"/>
    <w:rsid w:val="000B07D3"/>
    <w:rsid w:val="000B0E6C"/>
    <w:rsid w:val="000B1589"/>
    <w:rsid w:val="000B36DE"/>
    <w:rsid w:val="000B4A97"/>
    <w:rsid w:val="000B59F1"/>
    <w:rsid w:val="000B5D6D"/>
    <w:rsid w:val="000B6979"/>
    <w:rsid w:val="000C02BA"/>
    <w:rsid w:val="000C06FE"/>
    <w:rsid w:val="000C139F"/>
    <w:rsid w:val="000C21D9"/>
    <w:rsid w:val="000C2BAE"/>
    <w:rsid w:val="000C33C8"/>
    <w:rsid w:val="000C3733"/>
    <w:rsid w:val="000C3FEA"/>
    <w:rsid w:val="000C4C2C"/>
    <w:rsid w:val="000C545D"/>
    <w:rsid w:val="000C575B"/>
    <w:rsid w:val="000C79BE"/>
    <w:rsid w:val="000C7FA7"/>
    <w:rsid w:val="000D0795"/>
    <w:rsid w:val="000D0F68"/>
    <w:rsid w:val="000D11BB"/>
    <w:rsid w:val="000D1D68"/>
    <w:rsid w:val="000D350F"/>
    <w:rsid w:val="000D3FCE"/>
    <w:rsid w:val="000D458F"/>
    <w:rsid w:val="000D5180"/>
    <w:rsid w:val="000D5631"/>
    <w:rsid w:val="000D5E81"/>
    <w:rsid w:val="000D6BFF"/>
    <w:rsid w:val="000D720B"/>
    <w:rsid w:val="000D7624"/>
    <w:rsid w:val="000E00B0"/>
    <w:rsid w:val="000E0150"/>
    <w:rsid w:val="000E074D"/>
    <w:rsid w:val="000E20EB"/>
    <w:rsid w:val="000E297A"/>
    <w:rsid w:val="000E3B06"/>
    <w:rsid w:val="000E3D3E"/>
    <w:rsid w:val="000E4D37"/>
    <w:rsid w:val="000E500B"/>
    <w:rsid w:val="000E6024"/>
    <w:rsid w:val="000E6B0E"/>
    <w:rsid w:val="000E7F78"/>
    <w:rsid w:val="000F09FF"/>
    <w:rsid w:val="000F0E91"/>
    <w:rsid w:val="000F1BE0"/>
    <w:rsid w:val="000F27B6"/>
    <w:rsid w:val="000F2810"/>
    <w:rsid w:val="000F4815"/>
    <w:rsid w:val="000F4A1F"/>
    <w:rsid w:val="000F7D9F"/>
    <w:rsid w:val="00100120"/>
    <w:rsid w:val="0010090A"/>
    <w:rsid w:val="00101345"/>
    <w:rsid w:val="00101DC0"/>
    <w:rsid w:val="00102037"/>
    <w:rsid w:val="0010206D"/>
    <w:rsid w:val="00102561"/>
    <w:rsid w:val="00104050"/>
    <w:rsid w:val="001049A5"/>
    <w:rsid w:val="00105F62"/>
    <w:rsid w:val="001063E3"/>
    <w:rsid w:val="00107350"/>
    <w:rsid w:val="00110F37"/>
    <w:rsid w:val="00111164"/>
    <w:rsid w:val="0011190F"/>
    <w:rsid w:val="0011207C"/>
    <w:rsid w:val="001121A1"/>
    <w:rsid w:val="001124EE"/>
    <w:rsid w:val="001127CC"/>
    <w:rsid w:val="001131C2"/>
    <w:rsid w:val="001149A9"/>
    <w:rsid w:val="00114C15"/>
    <w:rsid w:val="00115B0C"/>
    <w:rsid w:val="001163D2"/>
    <w:rsid w:val="001168DD"/>
    <w:rsid w:val="00117358"/>
    <w:rsid w:val="001202BB"/>
    <w:rsid w:val="0012038F"/>
    <w:rsid w:val="00120EE1"/>
    <w:rsid w:val="001224AF"/>
    <w:rsid w:val="001232DD"/>
    <w:rsid w:val="00124655"/>
    <w:rsid w:val="00125190"/>
    <w:rsid w:val="00125CEE"/>
    <w:rsid w:val="001269AD"/>
    <w:rsid w:val="0012748F"/>
    <w:rsid w:val="001275B2"/>
    <w:rsid w:val="00130298"/>
    <w:rsid w:val="00130A56"/>
    <w:rsid w:val="00131420"/>
    <w:rsid w:val="0013212C"/>
    <w:rsid w:val="00132B65"/>
    <w:rsid w:val="00132BFE"/>
    <w:rsid w:val="001332CC"/>
    <w:rsid w:val="0013385E"/>
    <w:rsid w:val="001339F1"/>
    <w:rsid w:val="00134D99"/>
    <w:rsid w:val="001352AB"/>
    <w:rsid w:val="00136B1E"/>
    <w:rsid w:val="00141132"/>
    <w:rsid w:val="0014133E"/>
    <w:rsid w:val="0014341E"/>
    <w:rsid w:val="00143AC4"/>
    <w:rsid w:val="00143AF6"/>
    <w:rsid w:val="00144757"/>
    <w:rsid w:val="00144C09"/>
    <w:rsid w:val="001452A7"/>
    <w:rsid w:val="00145934"/>
    <w:rsid w:val="00147600"/>
    <w:rsid w:val="001476DD"/>
    <w:rsid w:val="00147E61"/>
    <w:rsid w:val="00150AB2"/>
    <w:rsid w:val="00150E6B"/>
    <w:rsid w:val="00150FBE"/>
    <w:rsid w:val="00151521"/>
    <w:rsid w:val="0015310B"/>
    <w:rsid w:val="00153200"/>
    <w:rsid w:val="00154124"/>
    <w:rsid w:val="00154627"/>
    <w:rsid w:val="0015647E"/>
    <w:rsid w:val="001565CE"/>
    <w:rsid w:val="00156858"/>
    <w:rsid w:val="00156A81"/>
    <w:rsid w:val="00156E64"/>
    <w:rsid w:val="001571EF"/>
    <w:rsid w:val="00157A58"/>
    <w:rsid w:val="00157AAC"/>
    <w:rsid w:val="001602BB"/>
    <w:rsid w:val="00160BA5"/>
    <w:rsid w:val="00160F91"/>
    <w:rsid w:val="001615CF"/>
    <w:rsid w:val="00161819"/>
    <w:rsid w:val="00161878"/>
    <w:rsid w:val="001619FC"/>
    <w:rsid w:val="00162AB7"/>
    <w:rsid w:val="00162F98"/>
    <w:rsid w:val="00163441"/>
    <w:rsid w:val="00164372"/>
    <w:rsid w:val="0016661A"/>
    <w:rsid w:val="0016688E"/>
    <w:rsid w:val="00166C60"/>
    <w:rsid w:val="00167098"/>
    <w:rsid w:val="0016772E"/>
    <w:rsid w:val="00170805"/>
    <w:rsid w:val="00171E66"/>
    <w:rsid w:val="00171F6F"/>
    <w:rsid w:val="00173E62"/>
    <w:rsid w:val="00174321"/>
    <w:rsid w:val="00174852"/>
    <w:rsid w:val="00175669"/>
    <w:rsid w:val="00175676"/>
    <w:rsid w:val="00175BD7"/>
    <w:rsid w:val="00176423"/>
    <w:rsid w:val="0017648D"/>
    <w:rsid w:val="00176D05"/>
    <w:rsid w:val="001773DC"/>
    <w:rsid w:val="0018113D"/>
    <w:rsid w:val="00181965"/>
    <w:rsid w:val="00182F36"/>
    <w:rsid w:val="0018315E"/>
    <w:rsid w:val="001839B4"/>
    <w:rsid w:val="001841D7"/>
    <w:rsid w:val="001843B0"/>
    <w:rsid w:val="00184668"/>
    <w:rsid w:val="00185011"/>
    <w:rsid w:val="00185828"/>
    <w:rsid w:val="00186261"/>
    <w:rsid w:val="00186456"/>
    <w:rsid w:val="00186A8A"/>
    <w:rsid w:val="00187696"/>
    <w:rsid w:val="001876FD"/>
    <w:rsid w:val="001919C5"/>
    <w:rsid w:val="001944A6"/>
    <w:rsid w:val="00195125"/>
    <w:rsid w:val="001954C9"/>
    <w:rsid w:val="0019724A"/>
    <w:rsid w:val="001A087D"/>
    <w:rsid w:val="001A0FAD"/>
    <w:rsid w:val="001A1CF3"/>
    <w:rsid w:val="001A2935"/>
    <w:rsid w:val="001A3134"/>
    <w:rsid w:val="001A49E6"/>
    <w:rsid w:val="001A6569"/>
    <w:rsid w:val="001B15B7"/>
    <w:rsid w:val="001B1C3A"/>
    <w:rsid w:val="001B1D05"/>
    <w:rsid w:val="001B1F6E"/>
    <w:rsid w:val="001B24B6"/>
    <w:rsid w:val="001B28AE"/>
    <w:rsid w:val="001B29ED"/>
    <w:rsid w:val="001B3E2B"/>
    <w:rsid w:val="001B3FB5"/>
    <w:rsid w:val="001B5EF2"/>
    <w:rsid w:val="001C005D"/>
    <w:rsid w:val="001C01E3"/>
    <w:rsid w:val="001C0424"/>
    <w:rsid w:val="001C0877"/>
    <w:rsid w:val="001C0D5C"/>
    <w:rsid w:val="001C1408"/>
    <w:rsid w:val="001C22BB"/>
    <w:rsid w:val="001C3043"/>
    <w:rsid w:val="001C45B4"/>
    <w:rsid w:val="001C647F"/>
    <w:rsid w:val="001C6483"/>
    <w:rsid w:val="001C6C6A"/>
    <w:rsid w:val="001C6E09"/>
    <w:rsid w:val="001C71FE"/>
    <w:rsid w:val="001D08D4"/>
    <w:rsid w:val="001D0A70"/>
    <w:rsid w:val="001D0DE3"/>
    <w:rsid w:val="001D1925"/>
    <w:rsid w:val="001D2420"/>
    <w:rsid w:val="001D255E"/>
    <w:rsid w:val="001D43AB"/>
    <w:rsid w:val="001D4AC5"/>
    <w:rsid w:val="001D51CD"/>
    <w:rsid w:val="001D6944"/>
    <w:rsid w:val="001D7340"/>
    <w:rsid w:val="001E16B1"/>
    <w:rsid w:val="001E1C9E"/>
    <w:rsid w:val="001E3644"/>
    <w:rsid w:val="001E3C15"/>
    <w:rsid w:val="001E3C59"/>
    <w:rsid w:val="001E45D5"/>
    <w:rsid w:val="001E46D8"/>
    <w:rsid w:val="001E4AC1"/>
    <w:rsid w:val="001E5806"/>
    <w:rsid w:val="001E5A26"/>
    <w:rsid w:val="001E5B05"/>
    <w:rsid w:val="001E5B9A"/>
    <w:rsid w:val="001E5F90"/>
    <w:rsid w:val="001E6FE6"/>
    <w:rsid w:val="001E7AE0"/>
    <w:rsid w:val="001E7DB6"/>
    <w:rsid w:val="001F0022"/>
    <w:rsid w:val="001F015A"/>
    <w:rsid w:val="001F0AEF"/>
    <w:rsid w:val="001F0E10"/>
    <w:rsid w:val="001F3BCC"/>
    <w:rsid w:val="001F403D"/>
    <w:rsid w:val="001F4DC4"/>
    <w:rsid w:val="001F52F3"/>
    <w:rsid w:val="001F66F2"/>
    <w:rsid w:val="001F6D9B"/>
    <w:rsid w:val="001F73EB"/>
    <w:rsid w:val="002011AF"/>
    <w:rsid w:val="00201250"/>
    <w:rsid w:val="00202154"/>
    <w:rsid w:val="00202209"/>
    <w:rsid w:val="002025E6"/>
    <w:rsid w:val="002028A1"/>
    <w:rsid w:val="00202FA2"/>
    <w:rsid w:val="00203116"/>
    <w:rsid w:val="00203E4A"/>
    <w:rsid w:val="00204D2A"/>
    <w:rsid w:val="00205137"/>
    <w:rsid w:val="00205F54"/>
    <w:rsid w:val="00206186"/>
    <w:rsid w:val="002079E5"/>
    <w:rsid w:val="00207F6E"/>
    <w:rsid w:val="00210591"/>
    <w:rsid w:val="00211248"/>
    <w:rsid w:val="002115EA"/>
    <w:rsid w:val="00212DF5"/>
    <w:rsid w:val="002130F7"/>
    <w:rsid w:val="00213337"/>
    <w:rsid w:val="0021400B"/>
    <w:rsid w:val="0021403E"/>
    <w:rsid w:val="00214C49"/>
    <w:rsid w:val="00215257"/>
    <w:rsid w:val="002159C7"/>
    <w:rsid w:val="0021610A"/>
    <w:rsid w:val="002165D1"/>
    <w:rsid w:val="00220FB8"/>
    <w:rsid w:val="00221FEA"/>
    <w:rsid w:val="00222FB6"/>
    <w:rsid w:val="00223823"/>
    <w:rsid w:val="00224149"/>
    <w:rsid w:val="00224420"/>
    <w:rsid w:val="00224A21"/>
    <w:rsid w:val="002254D4"/>
    <w:rsid w:val="00225591"/>
    <w:rsid w:val="00225DEC"/>
    <w:rsid w:val="00226599"/>
    <w:rsid w:val="002273D0"/>
    <w:rsid w:val="00230BC9"/>
    <w:rsid w:val="00231E74"/>
    <w:rsid w:val="00232A34"/>
    <w:rsid w:val="00233B09"/>
    <w:rsid w:val="00234507"/>
    <w:rsid w:val="00234E36"/>
    <w:rsid w:val="00234F8F"/>
    <w:rsid w:val="0023522F"/>
    <w:rsid w:val="00235E91"/>
    <w:rsid w:val="0023672D"/>
    <w:rsid w:val="002434BC"/>
    <w:rsid w:val="00245116"/>
    <w:rsid w:val="00245167"/>
    <w:rsid w:val="00245B4B"/>
    <w:rsid w:val="002464BC"/>
    <w:rsid w:val="00246B8C"/>
    <w:rsid w:val="00247EBF"/>
    <w:rsid w:val="00247FE2"/>
    <w:rsid w:val="00250367"/>
    <w:rsid w:val="00250478"/>
    <w:rsid w:val="002508FF"/>
    <w:rsid w:val="002512B8"/>
    <w:rsid w:val="00251EB4"/>
    <w:rsid w:val="00252A01"/>
    <w:rsid w:val="00252B23"/>
    <w:rsid w:val="00254057"/>
    <w:rsid w:val="002544C8"/>
    <w:rsid w:val="00254646"/>
    <w:rsid w:val="00255B44"/>
    <w:rsid w:val="00255D38"/>
    <w:rsid w:val="00260754"/>
    <w:rsid w:val="00261C04"/>
    <w:rsid w:val="002625C8"/>
    <w:rsid w:val="00263918"/>
    <w:rsid w:val="00265BE6"/>
    <w:rsid w:val="00265D65"/>
    <w:rsid w:val="00267C95"/>
    <w:rsid w:val="00271017"/>
    <w:rsid w:val="002714C3"/>
    <w:rsid w:val="0027213B"/>
    <w:rsid w:val="00272264"/>
    <w:rsid w:val="002725FD"/>
    <w:rsid w:val="002737A4"/>
    <w:rsid w:val="00275B74"/>
    <w:rsid w:val="00275E66"/>
    <w:rsid w:val="002819E0"/>
    <w:rsid w:val="00281E03"/>
    <w:rsid w:val="002845D2"/>
    <w:rsid w:val="00284F26"/>
    <w:rsid w:val="002857B1"/>
    <w:rsid w:val="002878A5"/>
    <w:rsid w:val="00287EF8"/>
    <w:rsid w:val="0029087A"/>
    <w:rsid w:val="002911B0"/>
    <w:rsid w:val="00291578"/>
    <w:rsid w:val="002915A0"/>
    <w:rsid w:val="00291AA0"/>
    <w:rsid w:val="0029217D"/>
    <w:rsid w:val="00292759"/>
    <w:rsid w:val="00292B10"/>
    <w:rsid w:val="002930BE"/>
    <w:rsid w:val="00293ABE"/>
    <w:rsid w:val="00295004"/>
    <w:rsid w:val="00296126"/>
    <w:rsid w:val="00296DBB"/>
    <w:rsid w:val="00297855"/>
    <w:rsid w:val="002A2FF3"/>
    <w:rsid w:val="002A31F6"/>
    <w:rsid w:val="002A3211"/>
    <w:rsid w:val="002A3364"/>
    <w:rsid w:val="002A3ED0"/>
    <w:rsid w:val="002A4B40"/>
    <w:rsid w:val="002A4CC0"/>
    <w:rsid w:val="002A5234"/>
    <w:rsid w:val="002A5427"/>
    <w:rsid w:val="002A5DEB"/>
    <w:rsid w:val="002A65EC"/>
    <w:rsid w:val="002A6F9F"/>
    <w:rsid w:val="002B0280"/>
    <w:rsid w:val="002B0D9C"/>
    <w:rsid w:val="002B1FAD"/>
    <w:rsid w:val="002B2E70"/>
    <w:rsid w:val="002B37B2"/>
    <w:rsid w:val="002B4BE5"/>
    <w:rsid w:val="002B53DF"/>
    <w:rsid w:val="002B5DEA"/>
    <w:rsid w:val="002B630A"/>
    <w:rsid w:val="002B634E"/>
    <w:rsid w:val="002B6A8A"/>
    <w:rsid w:val="002B6E99"/>
    <w:rsid w:val="002B6F4E"/>
    <w:rsid w:val="002B7F4C"/>
    <w:rsid w:val="002C051D"/>
    <w:rsid w:val="002C1B9B"/>
    <w:rsid w:val="002C2436"/>
    <w:rsid w:val="002C4967"/>
    <w:rsid w:val="002C5556"/>
    <w:rsid w:val="002C558D"/>
    <w:rsid w:val="002C56D6"/>
    <w:rsid w:val="002C6F3B"/>
    <w:rsid w:val="002C7420"/>
    <w:rsid w:val="002C7540"/>
    <w:rsid w:val="002D06E5"/>
    <w:rsid w:val="002D2425"/>
    <w:rsid w:val="002D2FF8"/>
    <w:rsid w:val="002D337D"/>
    <w:rsid w:val="002D5CEE"/>
    <w:rsid w:val="002D641F"/>
    <w:rsid w:val="002D642B"/>
    <w:rsid w:val="002D70DB"/>
    <w:rsid w:val="002D7948"/>
    <w:rsid w:val="002D7D24"/>
    <w:rsid w:val="002E0646"/>
    <w:rsid w:val="002E08C1"/>
    <w:rsid w:val="002E0F84"/>
    <w:rsid w:val="002E18EE"/>
    <w:rsid w:val="002E1A7D"/>
    <w:rsid w:val="002E20A6"/>
    <w:rsid w:val="002E3353"/>
    <w:rsid w:val="002E5174"/>
    <w:rsid w:val="002E51D5"/>
    <w:rsid w:val="002E54ED"/>
    <w:rsid w:val="002E654A"/>
    <w:rsid w:val="002E7D01"/>
    <w:rsid w:val="002F056D"/>
    <w:rsid w:val="002F0D91"/>
    <w:rsid w:val="002F0FF5"/>
    <w:rsid w:val="002F1552"/>
    <w:rsid w:val="002F162A"/>
    <w:rsid w:val="002F234D"/>
    <w:rsid w:val="002F2422"/>
    <w:rsid w:val="002F26F7"/>
    <w:rsid w:val="002F29A4"/>
    <w:rsid w:val="002F2CB9"/>
    <w:rsid w:val="002F2E24"/>
    <w:rsid w:val="002F4397"/>
    <w:rsid w:val="002F4516"/>
    <w:rsid w:val="002F4D49"/>
    <w:rsid w:val="002F5A6F"/>
    <w:rsid w:val="002F7E4E"/>
    <w:rsid w:val="003009F5"/>
    <w:rsid w:val="00301037"/>
    <w:rsid w:val="0030125C"/>
    <w:rsid w:val="003015AA"/>
    <w:rsid w:val="003021F0"/>
    <w:rsid w:val="00302CFD"/>
    <w:rsid w:val="00302F78"/>
    <w:rsid w:val="00304F8B"/>
    <w:rsid w:val="00305839"/>
    <w:rsid w:val="00306837"/>
    <w:rsid w:val="00306EE8"/>
    <w:rsid w:val="00306FD8"/>
    <w:rsid w:val="003100D3"/>
    <w:rsid w:val="0031248C"/>
    <w:rsid w:val="00312581"/>
    <w:rsid w:val="00313091"/>
    <w:rsid w:val="00314135"/>
    <w:rsid w:val="00314501"/>
    <w:rsid w:val="00314B25"/>
    <w:rsid w:val="003166DB"/>
    <w:rsid w:val="00316B75"/>
    <w:rsid w:val="00320152"/>
    <w:rsid w:val="00320D14"/>
    <w:rsid w:val="00320D73"/>
    <w:rsid w:val="003210AC"/>
    <w:rsid w:val="003213BD"/>
    <w:rsid w:val="00322109"/>
    <w:rsid w:val="00322AFB"/>
    <w:rsid w:val="00323A0F"/>
    <w:rsid w:val="00323A3C"/>
    <w:rsid w:val="00324189"/>
    <w:rsid w:val="00325969"/>
    <w:rsid w:val="00327589"/>
    <w:rsid w:val="00331335"/>
    <w:rsid w:val="003323D7"/>
    <w:rsid w:val="0033280E"/>
    <w:rsid w:val="003328EB"/>
    <w:rsid w:val="00332AD8"/>
    <w:rsid w:val="003334B3"/>
    <w:rsid w:val="003342B4"/>
    <w:rsid w:val="003355D1"/>
    <w:rsid w:val="0033641A"/>
    <w:rsid w:val="00336C7C"/>
    <w:rsid w:val="003374F8"/>
    <w:rsid w:val="003376B9"/>
    <w:rsid w:val="00340209"/>
    <w:rsid w:val="0034098A"/>
    <w:rsid w:val="00340A76"/>
    <w:rsid w:val="003412C1"/>
    <w:rsid w:val="00341A92"/>
    <w:rsid w:val="00341C2B"/>
    <w:rsid w:val="0034222F"/>
    <w:rsid w:val="003435D4"/>
    <w:rsid w:val="003441E8"/>
    <w:rsid w:val="0034453E"/>
    <w:rsid w:val="003453B7"/>
    <w:rsid w:val="00347279"/>
    <w:rsid w:val="003503BB"/>
    <w:rsid w:val="00350546"/>
    <w:rsid w:val="00353517"/>
    <w:rsid w:val="00353A25"/>
    <w:rsid w:val="00354260"/>
    <w:rsid w:val="00355989"/>
    <w:rsid w:val="003563F9"/>
    <w:rsid w:val="00356D4A"/>
    <w:rsid w:val="0035739C"/>
    <w:rsid w:val="003610C8"/>
    <w:rsid w:val="003623C9"/>
    <w:rsid w:val="00362606"/>
    <w:rsid w:val="00365AD1"/>
    <w:rsid w:val="003660E9"/>
    <w:rsid w:val="00366308"/>
    <w:rsid w:val="00366570"/>
    <w:rsid w:val="0036733B"/>
    <w:rsid w:val="003673C1"/>
    <w:rsid w:val="003676BA"/>
    <w:rsid w:val="00370399"/>
    <w:rsid w:val="003720D7"/>
    <w:rsid w:val="00372357"/>
    <w:rsid w:val="00372BB6"/>
    <w:rsid w:val="0037355B"/>
    <w:rsid w:val="00373A28"/>
    <w:rsid w:val="00374CCF"/>
    <w:rsid w:val="00374F28"/>
    <w:rsid w:val="00375BE7"/>
    <w:rsid w:val="003769D8"/>
    <w:rsid w:val="0037781A"/>
    <w:rsid w:val="00380475"/>
    <w:rsid w:val="00380DD9"/>
    <w:rsid w:val="00381138"/>
    <w:rsid w:val="003815C7"/>
    <w:rsid w:val="0038216B"/>
    <w:rsid w:val="00382DFC"/>
    <w:rsid w:val="00383117"/>
    <w:rsid w:val="003848F9"/>
    <w:rsid w:val="0038519E"/>
    <w:rsid w:val="00385619"/>
    <w:rsid w:val="00386F33"/>
    <w:rsid w:val="00387031"/>
    <w:rsid w:val="00387317"/>
    <w:rsid w:val="00387781"/>
    <w:rsid w:val="00387D04"/>
    <w:rsid w:val="00390269"/>
    <w:rsid w:val="00392A37"/>
    <w:rsid w:val="00393A0D"/>
    <w:rsid w:val="00393DD9"/>
    <w:rsid w:val="00394708"/>
    <w:rsid w:val="003953D9"/>
    <w:rsid w:val="00396723"/>
    <w:rsid w:val="00397201"/>
    <w:rsid w:val="00397F5B"/>
    <w:rsid w:val="003A0128"/>
    <w:rsid w:val="003A04FD"/>
    <w:rsid w:val="003A0A54"/>
    <w:rsid w:val="003A11D9"/>
    <w:rsid w:val="003A2675"/>
    <w:rsid w:val="003A2BC4"/>
    <w:rsid w:val="003A3D27"/>
    <w:rsid w:val="003A3D87"/>
    <w:rsid w:val="003A49F4"/>
    <w:rsid w:val="003A51E8"/>
    <w:rsid w:val="003A53FD"/>
    <w:rsid w:val="003A596B"/>
    <w:rsid w:val="003A5AFF"/>
    <w:rsid w:val="003A675E"/>
    <w:rsid w:val="003A69F5"/>
    <w:rsid w:val="003A6E0C"/>
    <w:rsid w:val="003A73A4"/>
    <w:rsid w:val="003B05E4"/>
    <w:rsid w:val="003B0D0A"/>
    <w:rsid w:val="003B1DF3"/>
    <w:rsid w:val="003B216F"/>
    <w:rsid w:val="003B2647"/>
    <w:rsid w:val="003B2E55"/>
    <w:rsid w:val="003B3106"/>
    <w:rsid w:val="003B3466"/>
    <w:rsid w:val="003B373B"/>
    <w:rsid w:val="003B43EC"/>
    <w:rsid w:val="003B43F5"/>
    <w:rsid w:val="003B60F9"/>
    <w:rsid w:val="003C02ED"/>
    <w:rsid w:val="003C04DC"/>
    <w:rsid w:val="003C111C"/>
    <w:rsid w:val="003C290A"/>
    <w:rsid w:val="003C45D3"/>
    <w:rsid w:val="003C4801"/>
    <w:rsid w:val="003C5FE4"/>
    <w:rsid w:val="003C6395"/>
    <w:rsid w:val="003C6504"/>
    <w:rsid w:val="003C7B57"/>
    <w:rsid w:val="003D1909"/>
    <w:rsid w:val="003D196E"/>
    <w:rsid w:val="003D19E8"/>
    <w:rsid w:val="003D287C"/>
    <w:rsid w:val="003D3875"/>
    <w:rsid w:val="003D4DEB"/>
    <w:rsid w:val="003D5929"/>
    <w:rsid w:val="003D6994"/>
    <w:rsid w:val="003D714E"/>
    <w:rsid w:val="003D7A34"/>
    <w:rsid w:val="003E04AD"/>
    <w:rsid w:val="003E07E4"/>
    <w:rsid w:val="003E1244"/>
    <w:rsid w:val="003E199B"/>
    <w:rsid w:val="003E20D0"/>
    <w:rsid w:val="003E2BC4"/>
    <w:rsid w:val="003E3D4C"/>
    <w:rsid w:val="003E46C5"/>
    <w:rsid w:val="003E49AF"/>
    <w:rsid w:val="003E4CF0"/>
    <w:rsid w:val="003E5941"/>
    <w:rsid w:val="003E5D3D"/>
    <w:rsid w:val="003E66C1"/>
    <w:rsid w:val="003F0548"/>
    <w:rsid w:val="003F21D7"/>
    <w:rsid w:val="003F2B2B"/>
    <w:rsid w:val="003F45E9"/>
    <w:rsid w:val="003F4ACD"/>
    <w:rsid w:val="003F602E"/>
    <w:rsid w:val="003F7A0B"/>
    <w:rsid w:val="00400136"/>
    <w:rsid w:val="00400F49"/>
    <w:rsid w:val="00401143"/>
    <w:rsid w:val="00401C81"/>
    <w:rsid w:val="00401E9D"/>
    <w:rsid w:val="0040248E"/>
    <w:rsid w:val="0040281D"/>
    <w:rsid w:val="00402DB6"/>
    <w:rsid w:val="00402F20"/>
    <w:rsid w:val="0040338D"/>
    <w:rsid w:val="00403CC0"/>
    <w:rsid w:val="004057AB"/>
    <w:rsid w:val="00407113"/>
    <w:rsid w:val="004104C3"/>
    <w:rsid w:val="00412F72"/>
    <w:rsid w:val="00413D2C"/>
    <w:rsid w:val="00413E0A"/>
    <w:rsid w:val="0041450C"/>
    <w:rsid w:val="004166C9"/>
    <w:rsid w:val="00416D85"/>
    <w:rsid w:val="00417702"/>
    <w:rsid w:val="00420D7D"/>
    <w:rsid w:val="0042204D"/>
    <w:rsid w:val="0042219F"/>
    <w:rsid w:val="0042246D"/>
    <w:rsid w:val="00422C32"/>
    <w:rsid w:val="00423922"/>
    <w:rsid w:val="00423DB8"/>
    <w:rsid w:val="00424DE8"/>
    <w:rsid w:val="00425E24"/>
    <w:rsid w:val="00426865"/>
    <w:rsid w:val="004301C1"/>
    <w:rsid w:val="00430886"/>
    <w:rsid w:val="00430CD0"/>
    <w:rsid w:val="00430D37"/>
    <w:rsid w:val="004312B8"/>
    <w:rsid w:val="0043278C"/>
    <w:rsid w:val="004327D5"/>
    <w:rsid w:val="00432DDE"/>
    <w:rsid w:val="00433616"/>
    <w:rsid w:val="00433B2F"/>
    <w:rsid w:val="00436C47"/>
    <w:rsid w:val="00437679"/>
    <w:rsid w:val="00440803"/>
    <w:rsid w:val="00440CC5"/>
    <w:rsid w:val="00441157"/>
    <w:rsid w:val="00443B42"/>
    <w:rsid w:val="00444D49"/>
    <w:rsid w:val="0044634B"/>
    <w:rsid w:val="00447924"/>
    <w:rsid w:val="00450AA3"/>
    <w:rsid w:val="0045139A"/>
    <w:rsid w:val="00452DBD"/>
    <w:rsid w:val="00452DDA"/>
    <w:rsid w:val="00453FB2"/>
    <w:rsid w:val="0045503B"/>
    <w:rsid w:val="0045559C"/>
    <w:rsid w:val="00455A8E"/>
    <w:rsid w:val="00456A28"/>
    <w:rsid w:val="00456F5C"/>
    <w:rsid w:val="0045703C"/>
    <w:rsid w:val="004573BF"/>
    <w:rsid w:val="0045773F"/>
    <w:rsid w:val="00457FA7"/>
    <w:rsid w:val="004607DD"/>
    <w:rsid w:val="00461654"/>
    <w:rsid w:val="00461681"/>
    <w:rsid w:val="00461ED5"/>
    <w:rsid w:val="0046239B"/>
    <w:rsid w:val="00464887"/>
    <w:rsid w:val="0046528F"/>
    <w:rsid w:val="00465362"/>
    <w:rsid w:val="004655EF"/>
    <w:rsid w:val="00465CB6"/>
    <w:rsid w:val="00466452"/>
    <w:rsid w:val="004667FE"/>
    <w:rsid w:val="004675F9"/>
    <w:rsid w:val="00471278"/>
    <w:rsid w:val="004721EC"/>
    <w:rsid w:val="00474984"/>
    <w:rsid w:val="004753DC"/>
    <w:rsid w:val="00476B7B"/>
    <w:rsid w:val="00476F5B"/>
    <w:rsid w:val="004770CE"/>
    <w:rsid w:val="004772DF"/>
    <w:rsid w:val="00477630"/>
    <w:rsid w:val="00480A65"/>
    <w:rsid w:val="00481495"/>
    <w:rsid w:val="00481DF7"/>
    <w:rsid w:val="00482FEC"/>
    <w:rsid w:val="004860E9"/>
    <w:rsid w:val="004904A2"/>
    <w:rsid w:val="004913B9"/>
    <w:rsid w:val="00491888"/>
    <w:rsid w:val="0049264B"/>
    <w:rsid w:val="00492C6C"/>
    <w:rsid w:val="00493B24"/>
    <w:rsid w:val="00493BB0"/>
    <w:rsid w:val="00495EA6"/>
    <w:rsid w:val="00495F38"/>
    <w:rsid w:val="00496287"/>
    <w:rsid w:val="004962B2"/>
    <w:rsid w:val="00496720"/>
    <w:rsid w:val="004971FE"/>
    <w:rsid w:val="004975A6"/>
    <w:rsid w:val="0049771C"/>
    <w:rsid w:val="00497C72"/>
    <w:rsid w:val="00497F50"/>
    <w:rsid w:val="004A00E0"/>
    <w:rsid w:val="004A095C"/>
    <w:rsid w:val="004A1B27"/>
    <w:rsid w:val="004A6040"/>
    <w:rsid w:val="004A6CC5"/>
    <w:rsid w:val="004A790F"/>
    <w:rsid w:val="004B14C0"/>
    <w:rsid w:val="004B17A2"/>
    <w:rsid w:val="004B38BF"/>
    <w:rsid w:val="004B50B6"/>
    <w:rsid w:val="004B5140"/>
    <w:rsid w:val="004B5578"/>
    <w:rsid w:val="004B5607"/>
    <w:rsid w:val="004B58B2"/>
    <w:rsid w:val="004B6A20"/>
    <w:rsid w:val="004B6D85"/>
    <w:rsid w:val="004C042E"/>
    <w:rsid w:val="004C08A0"/>
    <w:rsid w:val="004C27A2"/>
    <w:rsid w:val="004C2940"/>
    <w:rsid w:val="004C3C3E"/>
    <w:rsid w:val="004C3E34"/>
    <w:rsid w:val="004C40F7"/>
    <w:rsid w:val="004C49D1"/>
    <w:rsid w:val="004C5509"/>
    <w:rsid w:val="004C5D2C"/>
    <w:rsid w:val="004C6553"/>
    <w:rsid w:val="004C732F"/>
    <w:rsid w:val="004C7370"/>
    <w:rsid w:val="004D04F2"/>
    <w:rsid w:val="004D0646"/>
    <w:rsid w:val="004D1207"/>
    <w:rsid w:val="004D1A3E"/>
    <w:rsid w:val="004D1C7F"/>
    <w:rsid w:val="004D3EA6"/>
    <w:rsid w:val="004D4F3B"/>
    <w:rsid w:val="004D5AF8"/>
    <w:rsid w:val="004D6F1B"/>
    <w:rsid w:val="004E00A3"/>
    <w:rsid w:val="004E0F8E"/>
    <w:rsid w:val="004E2A28"/>
    <w:rsid w:val="004E3195"/>
    <w:rsid w:val="004E347C"/>
    <w:rsid w:val="004E3517"/>
    <w:rsid w:val="004E39C5"/>
    <w:rsid w:val="004E3BF9"/>
    <w:rsid w:val="004E4188"/>
    <w:rsid w:val="004E442E"/>
    <w:rsid w:val="004E4C02"/>
    <w:rsid w:val="004E4CD3"/>
    <w:rsid w:val="004E4EF1"/>
    <w:rsid w:val="004E6A8B"/>
    <w:rsid w:val="004E782F"/>
    <w:rsid w:val="004F01FC"/>
    <w:rsid w:val="004F1312"/>
    <w:rsid w:val="004F196E"/>
    <w:rsid w:val="004F220C"/>
    <w:rsid w:val="004F3B45"/>
    <w:rsid w:val="004F3F05"/>
    <w:rsid w:val="004F494F"/>
    <w:rsid w:val="004F4FC0"/>
    <w:rsid w:val="004F5663"/>
    <w:rsid w:val="004F6E7B"/>
    <w:rsid w:val="004F7673"/>
    <w:rsid w:val="004F784B"/>
    <w:rsid w:val="005015C3"/>
    <w:rsid w:val="005016AD"/>
    <w:rsid w:val="005017C5"/>
    <w:rsid w:val="00501886"/>
    <w:rsid w:val="00501B08"/>
    <w:rsid w:val="00501D06"/>
    <w:rsid w:val="00503C24"/>
    <w:rsid w:val="00504A8E"/>
    <w:rsid w:val="00507BF6"/>
    <w:rsid w:val="00510262"/>
    <w:rsid w:val="00511610"/>
    <w:rsid w:val="00511F05"/>
    <w:rsid w:val="00511F35"/>
    <w:rsid w:val="00512452"/>
    <w:rsid w:val="00512816"/>
    <w:rsid w:val="00512894"/>
    <w:rsid w:val="005128C7"/>
    <w:rsid w:val="00512922"/>
    <w:rsid w:val="00514745"/>
    <w:rsid w:val="005154C7"/>
    <w:rsid w:val="005158DB"/>
    <w:rsid w:val="00515A3A"/>
    <w:rsid w:val="00520155"/>
    <w:rsid w:val="0052032F"/>
    <w:rsid w:val="005205DC"/>
    <w:rsid w:val="00520737"/>
    <w:rsid w:val="005209C9"/>
    <w:rsid w:val="00521E83"/>
    <w:rsid w:val="00522641"/>
    <w:rsid w:val="00523882"/>
    <w:rsid w:val="00524AED"/>
    <w:rsid w:val="0052536E"/>
    <w:rsid w:val="00525604"/>
    <w:rsid w:val="00525B70"/>
    <w:rsid w:val="00525F8E"/>
    <w:rsid w:val="00526275"/>
    <w:rsid w:val="0052767F"/>
    <w:rsid w:val="00527738"/>
    <w:rsid w:val="00527A2F"/>
    <w:rsid w:val="00530E15"/>
    <w:rsid w:val="005310F3"/>
    <w:rsid w:val="0053111A"/>
    <w:rsid w:val="00531F4D"/>
    <w:rsid w:val="0053208D"/>
    <w:rsid w:val="00534849"/>
    <w:rsid w:val="0053488B"/>
    <w:rsid w:val="00536616"/>
    <w:rsid w:val="00536C2A"/>
    <w:rsid w:val="00537BE6"/>
    <w:rsid w:val="0054058E"/>
    <w:rsid w:val="0054157E"/>
    <w:rsid w:val="00541DAF"/>
    <w:rsid w:val="0054295C"/>
    <w:rsid w:val="005441CF"/>
    <w:rsid w:val="0054433B"/>
    <w:rsid w:val="00544662"/>
    <w:rsid w:val="00545033"/>
    <w:rsid w:val="00545C78"/>
    <w:rsid w:val="00545F37"/>
    <w:rsid w:val="00546228"/>
    <w:rsid w:val="00547896"/>
    <w:rsid w:val="00547D00"/>
    <w:rsid w:val="00550050"/>
    <w:rsid w:val="00550F92"/>
    <w:rsid w:val="00551E8F"/>
    <w:rsid w:val="005521FD"/>
    <w:rsid w:val="00552721"/>
    <w:rsid w:val="0055287A"/>
    <w:rsid w:val="00552F43"/>
    <w:rsid w:val="0055452A"/>
    <w:rsid w:val="00554B7A"/>
    <w:rsid w:val="005561A7"/>
    <w:rsid w:val="00556944"/>
    <w:rsid w:val="00557B3C"/>
    <w:rsid w:val="00560088"/>
    <w:rsid w:val="0056211E"/>
    <w:rsid w:val="0056268B"/>
    <w:rsid w:val="00562796"/>
    <w:rsid w:val="0056332D"/>
    <w:rsid w:val="005634D5"/>
    <w:rsid w:val="005638E5"/>
    <w:rsid w:val="005643D6"/>
    <w:rsid w:val="00564966"/>
    <w:rsid w:val="00564A1E"/>
    <w:rsid w:val="00566CDA"/>
    <w:rsid w:val="00567C4C"/>
    <w:rsid w:val="00567CFA"/>
    <w:rsid w:val="0057083E"/>
    <w:rsid w:val="0057099B"/>
    <w:rsid w:val="00570F99"/>
    <w:rsid w:val="005718B5"/>
    <w:rsid w:val="0057425A"/>
    <w:rsid w:val="00575809"/>
    <w:rsid w:val="0057698F"/>
    <w:rsid w:val="00577320"/>
    <w:rsid w:val="0057798A"/>
    <w:rsid w:val="00580DE3"/>
    <w:rsid w:val="0058176D"/>
    <w:rsid w:val="00581A9C"/>
    <w:rsid w:val="0058301B"/>
    <w:rsid w:val="005833C2"/>
    <w:rsid w:val="005834FD"/>
    <w:rsid w:val="00584F4B"/>
    <w:rsid w:val="00585073"/>
    <w:rsid w:val="0058771F"/>
    <w:rsid w:val="0058785B"/>
    <w:rsid w:val="00587AA2"/>
    <w:rsid w:val="00587B4F"/>
    <w:rsid w:val="00587B86"/>
    <w:rsid w:val="00587C29"/>
    <w:rsid w:val="00591381"/>
    <w:rsid w:val="00591A57"/>
    <w:rsid w:val="00591A87"/>
    <w:rsid w:val="00591F32"/>
    <w:rsid w:val="005929E9"/>
    <w:rsid w:val="00593727"/>
    <w:rsid w:val="00595993"/>
    <w:rsid w:val="00595F89"/>
    <w:rsid w:val="00596BF0"/>
    <w:rsid w:val="005A0434"/>
    <w:rsid w:val="005A09DB"/>
    <w:rsid w:val="005A0B5D"/>
    <w:rsid w:val="005A1369"/>
    <w:rsid w:val="005A6ECB"/>
    <w:rsid w:val="005A70C7"/>
    <w:rsid w:val="005A7382"/>
    <w:rsid w:val="005A7746"/>
    <w:rsid w:val="005B06C0"/>
    <w:rsid w:val="005B0A64"/>
    <w:rsid w:val="005B1517"/>
    <w:rsid w:val="005B34EC"/>
    <w:rsid w:val="005B44A0"/>
    <w:rsid w:val="005B46CB"/>
    <w:rsid w:val="005B484E"/>
    <w:rsid w:val="005B4B2B"/>
    <w:rsid w:val="005B52BA"/>
    <w:rsid w:val="005B5991"/>
    <w:rsid w:val="005B6C07"/>
    <w:rsid w:val="005B7916"/>
    <w:rsid w:val="005B7935"/>
    <w:rsid w:val="005C08A9"/>
    <w:rsid w:val="005C0B78"/>
    <w:rsid w:val="005C19D5"/>
    <w:rsid w:val="005C4850"/>
    <w:rsid w:val="005C4FC5"/>
    <w:rsid w:val="005C5548"/>
    <w:rsid w:val="005C55F7"/>
    <w:rsid w:val="005C5675"/>
    <w:rsid w:val="005C61F7"/>
    <w:rsid w:val="005C62EA"/>
    <w:rsid w:val="005C6987"/>
    <w:rsid w:val="005D119C"/>
    <w:rsid w:val="005D24CD"/>
    <w:rsid w:val="005D2B2F"/>
    <w:rsid w:val="005D2BFB"/>
    <w:rsid w:val="005D2C45"/>
    <w:rsid w:val="005D2F5F"/>
    <w:rsid w:val="005D3155"/>
    <w:rsid w:val="005D3637"/>
    <w:rsid w:val="005D3BA7"/>
    <w:rsid w:val="005D514D"/>
    <w:rsid w:val="005D5D9F"/>
    <w:rsid w:val="005D67A1"/>
    <w:rsid w:val="005D6C03"/>
    <w:rsid w:val="005D716A"/>
    <w:rsid w:val="005D7BFB"/>
    <w:rsid w:val="005E1813"/>
    <w:rsid w:val="005E23D9"/>
    <w:rsid w:val="005E4F3E"/>
    <w:rsid w:val="005E54CF"/>
    <w:rsid w:val="005E55A2"/>
    <w:rsid w:val="005E6C0F"/>
    <w:rsid w:val="005E6D1C"/>
    <w:rsid w:val="005E768C"/>
    <w:rsid w:val="005E7F3E"/>
    <w:rsid w:val="005F04E6"/>
    <w:rsid w:val="005F0611"/>
    <w:rsid w:val="005F0CEB"/>
    <w:rsid w:val="005F1110"/>
    <w:rsid w:val="005F345E"/>
    <w:rsid w:val="005F40DF"/>
    <w:rsid w:val="005F4556"/>
    <w:rsid w:val="005F4748"/>
    <w:rsid w:val="005F5F15"/>
    <w:rsid w:val="005F678A"/>
    <w:rsid w:val="005F6C92"/>
    <w:rsid w:val="005F7330"/>
    <w:rsid w:val="006005B4"/>
    <w:rsid w:val="00600CAE"/>
    <w:rsid w:val="00601700"/>
    <w:rsid w:val="0060278B"/>
    <w:rsid w:val="00602FF5"/>
    <w:rsid w:val="0060488D"/>
    <w:rsid w:val="00606BA8"/>
    <w:rsid w:val="006079DE"/>
    <w:rsid w:val="00607D3E"/>
    <w:rsid w:val="00610218"/>
    <w:rsid w:val="006105A8"/>
    <w:rsid w:val="0061168D"/>
    <w:rsid w:val="006119AA"/>
    <w:rsid w:val="00611F91"/>
    <w:rsid w:val="006123E4"/>
    <w:rsid w:val="00612B1B"/>
    <w:rsid w:val="00612F5C"/>
    <w:rsid w:val="006138AF"/>
    <w:rsid w:val="0061495C"/>
    <w:rsid w:val="0061670D"/>
    <w:rsid w:val="00620A22"/>
    <w:rsid w:val="00621C11"/>
    <w:rsid w:val="00621CFA"/>
    <w:rsid w:val="00621E85"/>
    <w:rsid w:val="00622E78"/>
    <w:rsid w:val="0062583A"/>
    <w:rsid w:val="006259D9"/>
    <w:rsid w:val="006269E8"/>
    <w:rsid w:val="00627C32"/>
    <w:rsid w:val="00627F71"/>
    <w:rsid w:val="00631E2D"/>
    <w:rsid w:val="0063294C"/>
    <w:rsid w:val="006333C0"/>
    <w:rsid w:val="0063497D"/>
    <w:rsid w:val="00635E0A"/>
    <w:rsid w:val="00636FC8"/>
    <w:rsid w:val="0064030B"/>
    <w:rsid w:val="006414C0"/>
    <w:rsid w:val="00641B74"/>
    <w:rsid w:val="00642321"/>
    <w:rsid w:val="006438F6"/>
    <w:rsid w:val="006439F0"/>
    <w:rsid w:val="00643B3F"/>
    <w:rsid w:val="00643D42"/>
    <w:rsid w:val="0064448C"/>
    <w:rsid w:val="006447E1"/>
    <w:rsid w:val="00644B30"/>
    <w:rsid w:val="006453E5"/>
    <w:rsid w:val="006458D6"/>
    <w:rsid w:val="00646DB5"/>
    <w:rsid w:val="00647FBE"/>
    <w:rsid w:val="006508CE"/>
    <w:rsid w:val="00651B38"/>
    <w:rsid w:val="0065228E"/>
    <w:rsid w:val="00653586"/>
    <w:rsid w:val="00654AF7"/>
    <w:rsid w:val="00656790"/>
    <w:rsid w:val="00656A37"/>
    <w:rsid w:val="00656E6E"/>
    <w:rsid w:val="00657DD0"/>
    <w:rsid w:val="00657F44"/>
    <w:rsid w:val="00661EE6"/>
    <w:rsid w:val="0066261B"/>
    <w:rsid w:val="006626B1"/>
    <w:rsid w:val="00662C1A"/>
    <w:rsid w:val="00663469"/>
    <w:rsid w:val="00663B8B"/>
    <w:rsid w:val="00663D1B"/>
    <w:rsid w:val="0066471E"/>
    <w:rsid w:val="0066573D"/>
    <w:rsid w:val="0066610F"/>
    <w:rsid w:val="00666429"/>
    <w:rsid w:val="006665F4"/>
    <w:rsid w:val="00666A2B"/>
    <w:rsid w:val="00666F7D"/>
    <w:rsid w:val="00667D04"/>
    <w:rsid w:val="0067035E"/>
    <w:rsid w:val="0067085A"/>
    <w:rsid w:val="0067273C"/>
    <w:rsid w:val="00674883"/>
    <w:rsid w:val="00675861"/>
    <w:rsid w:val="006764D4"/>
    <w:rsid w:val="0067784A"/>
    <w:rsid w:val="00677F48"/>
    <w:rsid w:val="006800E1"/>
    <w:rsid w:val="00680126"/>
    <w:rsid w:val="006817C6"/>
    <w:rsid w:val="00681C2F"/>
    <w:rsid w:val="00682B67"/>
    <w:rsid w:val="0068303C"/>
    <w:rsid w:val="00684300"/>
    <w:rsid w:val="00685065"/>
    <w:rsid w:val="006856E3"/>
    <w:rsid w:val="00686C4C"/>
    <w:rsid w:val="006870B7"/>
    <w:rsid w:val="0068715E"/>
    <w:rsid w:val="006874D3"/>
    <w:rsid w:val="00687B35"/>
    <w:rsid w:val="00687E98"/>
    <w:rsid w:val="00687EC7"/>
    <w:rsid w:val="0069113F"/>
    <w:rsid w:val="00691FB8"/>
    <w:rsid w:val="00693C76"/>
    <w:rsid w:val="00693CCE"/>
    <w:rsid w:val="00693D2B"/>
    <w:rsid w:val="00693F16"/>
    <w:rsid w:val="006948A7"/>
    <w:rsid w:val="00694D90"/>
    <w:rsid w:val="00695265"/>
    <w:rsid w:val="006966F4"/>
    <w:rsid w:val="0069710E"/>
    <w:rsid w:val="00697495"/>
    <w:rsid w:val="006A0516"/>
    <w:rsid w:val="006A11C4"/>
    <w:rsid w:val="006A1EF0"/>
    <w:rsid w:val="006A270B"/>
    <w:rsid w:val="006A28E1"/>
    <w:rsid w:val="006A345B"/>
    <w:rsid w:val="006A5C10"/>
    <w:rsid w:val="006A6B87"/>
    <w:rsid w:val="006A7B4E"/>
    <w:rsid w:val="006B5862"/>
    <w:rsid w:val="006B5A73"/>
    <w:rsid w:val="006B6927"/>
    <w:rsid w:val="006B6A22"/>
    <w:rsid w:val="006B73F1"/>
    <w:rsid w:val="006B774B"/>
    <w:rsid w:val="006B7B38"/>
    <w:rsid w:val="006B7F09"/>
    <w:rsid w:val="006C031F"/>
    <w:rsid w:val="006C0328"/>
    <w:rsid w:val="006C123B"/>
    <w:rsid w:val="006C47B1"/>
    <w:rsid w:val="006C4BED"/>
    <w:rsid w:val="006C4FC0"/>
    <w:rsid w:val="006C5557"/>
    <w:rsid w:val="006C5A37"/>
    <w:rsid w:val="006C5EDF"/>
    <w:rsid w:val="006C745E"/>
    <w:rsid w:val="006C74A9"/>
    <w:rsid w:val="006D09E1"/>
    <w:rsid w:val="006D141A"/>
    <w:rsid w:val="006D212A"/>
    <w:rsid w:val="006D27A7"/>
    <w:rsid w:val="006D2922"/>
    <w:rsid w:val="006D3CC6"/>
    <w:rsid w:val="006D3F00"/>
    <w:rsid w:val="006D4B3B"/>
    <w:rsid w:val="006D4E45"/>
    <w:rsid w:val="006D5547"/>
    <w:rsid w:val="006D587A"/>
    <w:rsid w:val="006D5A03"/>
    <w:rsid w:val="006D5CCB"/>
    <w:rsid w:val="006D5EFA"/>
    <w:rsid w:val="006D611B"/>
    <w:rsid w:val="006E1B92"/>
    <w:rsid w:val="006E1F74"/>
    <w:rsid w:val="006E60B5"/>
    <w:rsid w:val="006E629F"/>
    <w:rsid w:val="006E65B8"/>
    <w:rsid w:val="006E6FE9"/>
    <w:rsid w:val="006E7472"/>
    <w:rsid w:val="006F0F18"/>
    <w:rsid w:val="006F0FB6"/>
    <w:rsid w:val="006F10EF"/>
    <w:rsid w:val="006F229E"/>
    <w:rsid w:val="006F2D7A"/>
    <w:rsid w:val="006F3357"/>
    <w:rsid w:val="006F4D77"/>
    <w:rsid w:val="006F5908"/>
    <w:rsid w:val="006F5A52"/>
    <w:rsid w:val="006F5CAE"/>
    <w:rsid w:val="006F5F20"/>
    <w:rsid w:val="006F6016"/>
    <w:rsid w:val="006F700F"/>
    <w:rsid w:val="006F719F"/>
    <w:rsid w:val="006F7648"/>
    <w:rsid w:val="007008A0"/>
    <w:rsid w:val="00700B2C"/>
    <w:rsid w:val="0070137B"/>
    <w:rsid w:val="00701784"/>
    <w:rsid w:val="007020A5"/>
    <w:rsid w:val="007020CF"/>
    <w:rsid w:val="00702286"/>
    <w:rsid w:val="0070332A"/>
    <w:rsid w:val="00703719"/>
    <w:rsid w:val="00704DF1"/>
    <w:rsid w:val="00705870"/>
    <w:rsid w:val="007062BF"/>
    <w:rsid w:val="0070760C"/>
    <w:rsid w:val="00707DDF"/>
    <w:rsid w:val="00710F4B"/>
    <w:rsid w:val="0071104B"/>
    <w:rsid w:val="007111F0"/>
    <w:rsid w:val="00711225"/>
    <w:rsid w:val="007115DD"/>
    <w:rsid w:val="0071244B"/>
    <w:rsid w:val="0071249B"/>
    <w:rsid w:val="007124C3"/>
    <w:rsid w:val="007127B1"/>
    <w:rsid w:val="00713042"/>
    <w:rsid w:val="00713704"/>
    <w:rsid w:val="0071438B"/>
    <w:rsid w:val="00714480"/>
    <w:rsid w:val="007144E8"/>
    <w:rsid w:val="00714E19"/>
    <w:rsid w:val="00717497"/>
    <w:rsid w:val="00717D5F"/>
    <w:rsid w:val="00720278"/>
    <w:rsid w:val="0072037F"/>
    <w:rsid w:val="007203FD"/>
    <w:rsid w:val="00721052"/>
    <w:rsid w:val="00722445"/>
    <w:rsid w:val="00722B52"/>
    <w:rsid w:val="00725067"/>
    <w:rsid w:val="0072523B"/>
    <w:rsid w:val="007253FA"/>
    <w:rsid w:val="00725B1D"/>
    <w:rsid w:val="00725C13"/>
    <w:rsid w:val="00725F04"/>
    <w:rsid w:val="00726B91"/>
    <w:rsid w:val="007303F8"/>
    <w:rsid w:val="00730D0B"/>
    <w:rsid w:val="0073352B"/>
    <w:rsid w:val="007338F8"/>
    <w:rsid w:val="00733FB0"/>
    <w:rsid w:val="00736D65"/>
    <w:rsid w:val="00737271"/>
    <w:rsid w:val="007372F3"/>
    <w:rsid w:val="0074032E"/>
    <w:rsid w:val="007404EE"/>
    <w:rsid w:val="00740C87"/>
    <w:rsid w:val="00740CFD"/>
    <w:rsid w:val="00741E7D"/>
    <w:rsid w:val="0074201E"/>
    <w:rsid w:val="00742671"/>
    <w:rsid w:val="00742948"/>
    <w:rsid w:val="00743A1E"/>
    <w:rsid w:val="00745255"/>
    <w:rsid w:val="0074660B"/>
    <w:rsid w:val="007469DF"/>
    <w:rsid w:val="00746A1F"/>
    <w:rsid w:val="00747AF2"/>
    <w:rsid w:val="00747BCC"/>
    <w:rsid w:val="007502FA"/>
    <w:rsid w:val="0075180E"/>
    <w:rsid w:val="00751E09"/>
    <w:rsid w:val="007524AA"/>
    <w:rsid w:val="007525FD"/>
    <w:rsid w:val="00752D4C"/>
    <w:rsid w:val="0075380A"/>
    <w:rsid w:val="0075455C"/>
    <w:rsid w:val="00760796"/>
    <w:rsid w:val="00761013"/>
    <w:rsid w:val="007611A6"/>
    <w:rsid w:val="0076134D"/>
    <w:rsid w:val="00763EC8"/>
    <w:rsid w:val="0076483F"/>
    <w:rsid w:val="007656ED"/>
    <w:rsid w:val="007659FF"/>
    <w:rsid w:val="0076627B"/>
    <w:rsid w:val="00770458"/>
    <w:rsid w:val="00770E6A"/>
    <w:rsid w:val="0077194F"/>
    <w:rsid w:val="007721ED"/>
    <w:rsid w:val="007722EC"/>
    <w:rsid w:val="00774C40"/>
    <w:rsid w:val="00774DCD"/>
    <w:rsid w:val="0077543D"/>
    <w:rsid w:val="00775804"/>
    <w:rsid w:val="00775A0A"/>
    <w:rsid w:val="00776641"/>
    <w:rsid w:val="007800B7"/>
    <w:rsid w:val="0078230D"/>
    <w:rsid w:val="0079059A"/>
    <w:rsid w:val="00790A2E"/>
    <w:rsid w:val="007911BA"/>
    <w:rsid w:val="00791B97"/>
    <w:rsid w:val="00792E82"/>
    <w:rsid w:val="0079315C"/>
    <w:rsid w:val="007934AF"/>
    <w:rsid w:val="00794491"/>
    <w:rsid w:val="00796CAE"/>
    <w:rsid w:val="0079760C"/>
    <w:rsid w:val="007979D9"/>
    <w:rsid w:val="007A0FE1"/>
    <w:rsid w:val="007A1B27"/>
    <w:rsid w:val="007A3BED"/>
    <w:rsid w:val="007A3D5A"/>
    <w:rsid w:val="007A5111"/>
    <w:rsid w:val="007A6814"/>
    <w:rsid w:val="007A6D41"/>
    <w:rsid w:val="007A7567"/>
    <w:rsid w:val="007A7A38"/>
    <w:rsid w:val="007A7E01"/>
    <w:rsid w:val="007B0B1A"/>
    <w:rsid w:val="007B17D5"/>
    <w:rsid w:val="007B1E54"/>
    <w:rsid w:val="007B2830"/>
    <w:rsid w:val="007B3126"/>
    <w:rsid w:val="007B3AA6"/>
    <w:rsid w:val="007B3C27"/>
    <w:rsid w:val="007B40DA"/>
    <w:rsid w:val="007B4651"/>
    <w:rsid w:val="007B49CB"/>
    <w:rsid w:val="007B7291"/>
    <w:rsid w:val="007C05C7"/>
    <w:rsid w:val="007C07E7"/>
    <w:rsid w:val="007C1F5E"/>
    <w:rsid w:val="007C23FE"/>
    <w:rsid w:val="007C28AB"/>
    <w:rsid w:val="007C2A8B"/>
    <w:rsid w:val="007C4874"/>
    <w:rsid w:val="007C4962"/>
    <w:rsid w:val="007C4AC6"/>
    <w:rsid w:val="007C51B3"/>
    <w:rsid w:val="007C649D"/>
    <w:rsid w:val="007C73F4"/>
    <w:rsid w:val="007D008C"/>
    <w:rsid w:val="007D038A"/>
    <w:rsid w:val="007D1CCE"/>
    <w:rsid w:val="007D2404"/>
    <w:rsid w:val="007D3046"/>
    <w:rsid w:val="007D3EE4"/>
    <w:rsid w:val="007D46EA"/>
    <w:rsid w:val="007D4E76"/>
    <w:rsid w:val="007D4F14"/>
    <w:rsid w:val="007D4F4D"/>
    <w:rsid w:val="007D5E81"/>
    <w:rsid w:val="007D66F9"/>
    <w:rsid w:val="007D74CC"/>
    <w:rsid w:val="007E1BED"/>
    <w:rsid w:val="007E2589"/>
    <w:rsid w:val="007E4019"/>
    <w:rsid w:val="007E4171"/>
    <w:rsid w:val="007E555D"/>
    <w:rsid w:val="007E5611"/>
    <w:rsid w:val="007E5AB2"/>
    <w:rsid w:val="007E6DFD"/>
    <w:rsid w:val="007E711F"/>
    <w:rsid w:val="007E739F"/>
    <w:rsid w:val="007E78A1"/>
    <w:rsid w:val="007E7B6C"/>
    <w:rsid w:val="007E7F73"/>
    <w:rsid w:val="007F031F"/>
    <w:rsid w:val="007F0746"/>
    <w:rsid w:val="007F08BC"/>
    <w:rsid w:val="007F0D68"/>
    <w:rsid w:val="007F0EA8"/>
    <w:rsid w:val="007F1227"/>
    <w:rsid w:val="007F150A"/>
    <w:rsid w:val="007F1956"/>
    <w:rsid w:val="007F1B94"/>
    <w:rsid w:val="007F1F0D"/>
    <w:rsid w:val="007F2183"/>
    <w:rsid w:val="007F23A8"/>
    <w:rsid w:val="007F27FA"/>
    <w:rsid w:val="007F2A38"/>
    <w:rsid w:val="007F2B7A"/>
    <w:rsid w:val="007F302D"/>
    <w:rsid w:val="007F41CB"/>
    <w:rsid w:val="007F4BE1"/>
    <w:rsid w:val="007F6A1A"/>
    <w:rsid w:val="007F6ACD"/>
    <w:rsid w:val="007F7143"/>
    <w:rsid w:val="007F716C"/>
    <w:rsid w:val="0080034D"/>
    <w:rsid w:val="00800583"/>
    <w:rsid w:val="008010CF"/>
    <w:rsid w:val="00801814"/>
    <w:rsid w:val="00801CD1"/>
    <w:rsid w:val="0080299C"/>
    <w:rsid w:val="00803253"/>
    <w:rsid w:val="00803B66"/>
    <w:rsid w:val="00803DDB"/>
    <w:rsid w:val="00804331"/>
    <w:rsid w:val="0080567E"/>
    <w:rsid w:val="00806428"/>
    <w:rsid w:val="008065AB"/>
    <w:rsid w:val="008072B2"/>
    <w:rsid w:val="0081169F"/>
    <w:rsid w:val="00812759"/>
    <w:rsid w:val="0081284C"/>
    <w:rsid w:val="00814F36"/>
    <w:rsid w:val="00815077"/>
    <w:rsid w:val="00815858"/>
    <w:rsid w:val="008207CE"/>
    <w:rsid w:val="008208F7"/>
    <w:rsid w:val="00821007"/>
    <w:rsid w:val="00821F81"/>
    <w:rsid w:val="00823387"/>
    <w:rsid w:val="00824D5D"/>
    <w:rsid w:val="0082588F"/>
    <w:rsid w:val="00827212"/>
    <w:rsid w:val="00827344"/>
    <w:rsid w:val="0082746C"/>
    <w:rsid w:val="0083001A"/>
    <w:rsid w:val="008305B9"/>
    <w:rsid w:val="00836DAB"/>
    <w:rsid w:val="00837936"/>
    <w:rsid w:val="0084004B"/>
    <w:rsid w:val="00840E9E"/>
    <w:rsid w:val="008412DB"/>
    <w:rsid w:val="00841747"/>
    <w:rsid w:val="00843141"/>
    <w:rsid w:val="008431BE"/>
    <w:rsid w:val="00843CEF"/>
    <w:rsid w:val="008444A0"/>
    <w:rsid w:val="00844A22"/>
    <w:rsid w:val="00845BA7"/>
    <w:rsid w:val="00846E12"/>
    <w:rsid w:val="00847CA8"/>
    <w:rsid w:val="00850782"/>
    <w:rsid w:val="00850E6C"/>
    <w:rsid w:val="00851523"/>
    <w:rsid w:val="00851837"/>
    <w:rsid w:val="00852220"/>
    <w:rsid w:val="00852303"/>
    <w:rsid w:val="00852815"/>
    <w:rsid w:val="00852B28"/>
    <w:rsid w:val="00853695"/>
    <w:rsid w:val="00854940"/>
    <w:rsid w:val="00855B5A"/>
    <w:rsid w:val="00855C14"/>
    <w:rsid w:val="0085656B"/>
    <w:rsid w:val="00857134"/>
    <w:rsid w:val="008572DD"/>
    <w:rsid w:val="008578C1"/>
    <w:rsid w:val="00861276"/>
    <w:rsid w:val="008616CB"/>
    <w:rsid w:val="008616F5"/>
    <w:rsid w:val="00861ABD"/>
    <w:rsid w:val="008621D4"/>
    <w:rsid w:val="008622D9"/>
    <w:rsid w:val="008641FC"/>
    <w:rsid w:val="00864630"/>
    <w:rsid w:val="00865B58"/>
    <w:rsid w:val="00865ED2"/>
    <w:rsid w:val="008666AF"/>
    <w:rsid w:val="0086679F"/>
    <w:rsid w:val="008667AB"/>
    <w:rsid w:val="00866B58"/>
    <w:rsid w:val="00870219"/>
    <w:rsid w:val="00870A2D"/>
    <w:rsid w:val="008710D6"/>
    <w:rsid w:val="0087351A"/>
    <w:rsid w:val="00873D55"/>
    <w:rsid w:val="00874BC1"/>
    <w:rsid w:val="00875422"/>
    <w:rsid w:val="008767BC"/>
    <w:rsid w:val="00876AC7"/>
    <w:rsid w:val="00880541"/>
    <w:rsid w:val="00880626"/>
    <w:rsid w:val="00881630"/>
    <w:rsid w:val="00881E62"/>
    <w:rsid w:val="0088333E"/>
    <w:rsid w:val="00884C13"/>
    <w:rsid w:val="00884FF1"/>
    <w:rsid w:val="00885272"/>
    <w:rsid w:val="00885326"/>
    <w:rsid w:val="00885B5B"/>
    <w:rsid w:val="00885C07"/>
    <w:rsid w:val="00885EBA"/>
    <w:rsid w:val="00886D61"/>
    <w:rsid w:val="00890745"/>
    <w:rsid w:val="00890BA3"/>
    <w:rsid w:val="00891AFC"/>
    <w:rsid w:val="00892397"/>
    <w:rsid w:val="008947FA"/>
    <w:rsid w:val="00894B07"/>
    <w:rsid w:val="008950F4"/>
    <w:rsid w:val="0089553A"/>
    <w:rsid w:val="008957CE"/>
    <w:rsid w:val="00896087"/>
    <w:rsid w:val="0089683F"/>
    <w:rsid w:val="008A16B4"/>
    <w:rsid w:val="008A17D4"/>
    <w:rsid w:val="008A248D"/>
    <w:rsid w:val="008A27DD"/>
    <w:rsid w:val="008A2A02"/>
    <w:rsid w:val="008A2A60"/>
    <w:rsid w:val="008A3028"/>
    <w:rsid w:val="008A441B"/>
    <w:rsid w:val="008A443F"/>
    <w:rsid w:val="008A4A05"/>
    <w:rsid w:val="008A5750"/>
    <w:rsid w:val="008A62DC"/>
    <w:rsid w:val="008A777D"/>
    <w:rsid w:val="008A7BFF"/>
    <w:rsid w:val="008B08FA"/>
    <w:rsid w:val="008B1E15"/>
    <w:rsid w:val="008B304E"/>
    <w:rsid w:val="008B3244"/>
    <w:rsid w:val="008B347B"/>
    <w:rsid w:val="008B4694"/>
    <w:rsid w:val="008B46F5"/>
    <w:rsid w:val="008B475C"/>
    <w:rsid w:val="008B5BB2"/>
    <w:rsid w:val="008B5D2C"/>
    <w:rsid w:val="008B656F"/>
    <w:rsid w:val="008B71D2"/>
    <w:rsid w:val="008B730B"/>
    <w:rsid w:val="008B7E0F"/>
    <w:rsid w:val="008B7EC8"/>
    <w:rsid w:val="008C209E"/>
    <w:rsid w:val="008C286D"/>
    <w:rsid w:val="008C4377"/>
    <w:rsid w:val="008D146F"/>
    <w:rsid w:val="008D1A55"/>
    <w:rsid w:val="008D250D"/>
    <w:rsid w:val="008D2BEC"/>
    <w:rsid w:val="008D4241"/>
    <w:rsid w:val="008D4329"/>
    <w:rsid w:val="008D57EA"/>
    <w:rsid w:val="008D5C20"/>
    <w:rsid w:val="008D6870"/>
    <w:rsid w:val="008D7368"/>
    <w:rsid w:val="008E27DD"/>
    <w:rsid w:val="008E4200"/>
    <w:rsid w:val="008E44B0"/>
    <w:rsid w:val="008E47FC"/>
    <w:rsid w:val="008E4AF5"/>
    <w:rsid w:val="008E5705"/>
    <w:rsid w:val="008F0BFD"/>
    <w:rsid w:val="008F1B55"/>
    <w:rsid w:val="008F205D"/>
    <w:rsid w:val="008F2A0D"/>
    <w:rsid w:val="008F36BE"/>
    <w:rsid w:val="008F4D90"/>
    <w:rsid w:val="008F5133"/>
    <w:rsid w:val="008F534D"/>
    <w:rsid w:val="008F5D28"/>
    <w:rsid w:val="008F622D"/>
    <w:rsid w:val="008F65B4"/>
    <w:rsid w:val="008F6D87"/>
    <w:rsid w:val="008F6E5E"/>
    <w:rsid w:val="008F6E8E"/>
    <w:rsid w:val="008F781B"/>
    <w:rsid w:val="0090012D"/>
    <w:rsid w:val="00900A0D"/>
    <w:rsid w:val="00900EE1"/>
    <w:rsid w:val="00901493"/>
    <w:rsid w:val="009015C5"/>
    <w:rsid w:val="009016A0"/>
    <w:rsid w:val="009049AB"/>
    <w:rsid w:val="009078B2"/>
    <w:rsid w:val="00907E32"/>
    <w:rsid w:val="0091004B"/>
    <w:rsid w:val="009101F4"/>
    <w:rsid w:val="009117B5"/>
    <w:rsid w:val="00911BBD"/>
    <w:rsid w:val="0091208D"/>
    <w:rsid w:val="00912D59"/>
    <w:rsid w:val="00914984"/>
    <w:rsid w:val="00914BBA"/>
    <w:rsid w:val="00914F91"/>
    <w:rsid w:val="009150BD"/>
    <w:rsid w:val="00917C67"/>
    <w:rsid w:val="00917D21"/>
    <w:rsid w:val="00920DBF"/>
    <w:rsid w:val="00920E84"/>
    <w:rsid w:val="0092151C"/>
    <w:rsid w:val="009215BC"/>
    <w:rsid w:val="009238BC"/>
    <w:rsid w:val="00924DA1"/>
    <w:rsid w:val="0092731A"/>
    <w:rsid w:val="009276AD"/>
    <w:rsid w:val="0092792E"/>
    <w:rsid w:val="00927D0F"/>
    <w:rsid w:val="00927DFC"/>
    <w:rsid w:val="009305D7"/>
    <w:rsid w:val="009310AC"/>
    <w:rsid w:val="00931C71"/>
    <w:rsid w:val="009332A5"/>
    <w:rsid w:val="0093411D"/>
    <w:rsid w:val="0093422D"/>
    <w:rsid w:val="00934BBF"/>
    <w:rsid w:val="009354D1"/>
    <w:rsid w:val="0093725A"/>
    <w:rsid w:val="0093736B"/>
    <w:rsid w:val="00937AF8"/>
    <w:rsid w:val="00937D32"/>
    <w:rsid w:val="009409F3"/>
    <w:rsid w:val="00941FF1"/>
    <w:rsid w:val="00942656"/>
    <w:rsid w:val="00942BAD"/>
    <w:rsid w:val="009448ED"/>
    <w:rsid w:val="0094524C"/>
    <w:rsid w:val="00945D35"/>
    <w:rsid w:val="00947B91"/>
    <w:rsid w:val="0095014C"/>
    <w:rsid w:val="0095034B"/>
    <w:rsid w:val="009515CA"/>
    <w:rsid w:val="00951BE4"/>
    <w:rsid w:val="00952DD5"/>
    <w:rsid w:val="00952E48"/>
    <w:rsid w:val="00953922"/>
    <w:rsid w:val="009550CE"/>
    <w:rsid w:val="00956FE7"/>
    <w:rsid w:val="00957299"/>
    <w:rsid w:val="00957497"/>
    <w:rsid w:val="00957C4E"/>
    <w:rsid w:val="009602D3"/>
    <w:rsid w:val="00960902"/>
    <w:rsid w:val="00960F60"/>
    <w:rsid w:val="0096176B"/>
    <w:rsid w:val="00961FCE"/>
    <w:rsid w:val="00962285"/>
    <w:rsid w:val="00962681"/>
    <w:rsid w:val="00964553"/>
    <w:rsid w:val="00964585"/>
    <w:rsid w:val="00966B47"/>
    <w:rsid w:val="00970F38"/>
    <w:rsid w:val="009716D8"/>
    <w:rsid w:val="0097285A"/>
    <w:rsid w:val="00972FB5"/>
    <w:rsid w:val="0097340E"/>
    <w:rsid w:val="00973714"/>
    <w:rsid w:val="00974703"/>
    <w:rsid w:val="00975047"/>
    <w:rsid w:val="00975787"/>
    <w:rsid w:val="00975BB9"/>
    <w:rsid w:val="00975D64"/>
    <w:rsid w:val="00976B81"/>
    <w:rsid w:val="00980040"/>
    <w:rsid w:val="0098005F"/>
    <w:rsid w:val="0098145D"/>
    <w:rsid w:val="009821BF"/>
    <w:rsid w:val="00982723"/>
    <w:rsid w:val="00982E06"/>
    <w:rsid w:val="00984388"/>
    <w:rsid w:val="009857A5"/>
    <w:rsid w:val="0098611D"/>
    <w:rsid w:val="00986572"/>
    <w:rsid w:val="00986F77"/>
    <w:rsid w:val="0098791E"/>
    <w:rsid w:val="00987E94"/>
    <w:rsid w:val="00990844"/>
    <w:rsid w:val="009918EB"/>
    <w:rsid w:val="009923DE"/>
    <w:rsid w:val="0099257C"/>
    <w:rsid w:val="00992BEB"/>
    <w:rsid w:val="00992CDC"/>
    <w:rsid w:val="00995BB0"/>
    <w:rsid w:val="009970D9"/>
    <w:rsid w:val="009971C3"/>
    <w:rsid w:val="009975C2"/>
    <w:rsid w:val="009A1271"/>
    <w:rsid w:val="009A15CB"/>
    <w:rsid w:val="009A16E7"/>
    <w:rsid w:val="009A2650"/>
    <w:rsid w:val="009A348D"/>
    <w:rsid w:val="009A4187"/>
    <w:rsid w:val="009A4BC0"/>
    <w:rsid w:val="009A575D"/>
    <w:rsid w:val="009A5A7B"/>
    <w:rsid w:val="009A6BAD"/>
    <w:rsid w:val="009A7E90"/>
    <w:rsid w:val="009B008F"/>
    <w:rsid w:val="009B138E"/>
    <w:rsid w:val="009B1849"/>
    <w:rsid w:val="009B232B"/>
    <w:rsid w:val="009B2B00"/>
    <w:rsid w:val="009B2F5F"/>
    <w:rsid w:val="009B3EA5"/>
    <w:rsid w:val="009B4762"/>
    <w:rsid w:val="009B4859"/>
    <w:rsid w:val="009B7908"/>
    <w:rsid w:val="009C168F"/>
    <w:rsid w:val="009C1EBB"/>
    <w:rsid w:val="009C2CC4"/>
    <w:rsid w:val="009C4810"/>
    <w:rsid w:val="009C5217"/>
    <w:rsid w:val="009C57D1"/>
    <w:rsid w:val="009C60EB"/>
    <w:rsid w:val="009C63F2"/>
    <w:rsid w:val="009C68A0"/>
    <w:rsid w:val="009C6C73"/>
    <w:rsid w:val="009C76F2"/>
    <w:rsid w:val="009D095B"/>
    <w:rsid w:val="009D1002"/>
    <w:rsid w:val="009D31E4"/>
    <w:rsid w:val="009D3D31"/>
    <w:rsid w:val="009D678C"/>
    <w:rsid w:val="009D6929"/>
    <w:rsid w:val="009E011E"/>
    <w:rsid w:val="009E037C"/>
    <w:rsid w:val="009E1AF7"/>
    <w:rsid w:val="009E1F35"/>
    <w:rsid w:val="009E21CB"/>
    <w:rsid w:val="009E39A6"/>
    <w:rsid w:val="009E47E2"/>
    <w:rsid w:val="009E4D98"/>
    <w:rsid w:val="009E4DAB"/>
    <w:rsid w:val="009E5258"/>
    <w:rsid w:val="009E75E9"/>
    <w:rsid w:val="009F1074"/>
    <w:rsid w:val="009F4B27"/>
    <w:rsid w:val="009F6C3E"/>
    <w:rsid w:val="009F6F25"/>
    <w:rsid w:val="00A007D5"/>
    <w:rsid w:val="00A020CE"/>
    <w:rsid w:val="00A020D7"/>
    <w:rsid w:val="00A027A3"/>
    <w:rsid w:val="00A03494"/>
    <w:rsid w:val="00A0376F"/>
    <w:rsid w:val="00A03A00"/>
    <w:rsid w:val="00A03A61"/>
    <w:rsid w:val="00A03BC4"/>
    <w:rsid w:val="00A04C0A"/>
    <w:rsid w:val="00A074BE"/>
    <w:rsid w:val="00A11073"/>
    <w:rsid w:val="00A1380F"/>
    <w:rsid w:val="00A1435E"/>
    <w:rsid w:val="00A16BDC"/>
    <w:rsid w:val="00A16FC0"/>
    <w:rsid w:val="00A202A8"/>
    <w:rsid w:val="00A20E5C"/>
    <w:rsid w:val="00A21500"/>
    <w:rsid w:val="00A220FA"/>
    <w:rsid w:val="00A22513"/>
    <w:rsid w:val="00A227E3"/>
    <w:rsid w:val="00A2281B"/>
    <w:rsid w:val="00A24924"/>
    <w:rsid w:val="00A249CB"/>
    <w:rsid w:val="00A25167"/>
    <w:rsid w:val="00A253D1"/>
    <w:rsid w:val="00A25B89"/>
    <w:rsid w:val="00A26344"/>
    <w:rsid w:val="00A270BC"/>
    <w:rsid w:val="00A273A4"/>
    <w:rsid w:val="00A27A9D"/>
    <w:rsid w:val="00A30D02"/>
    <w:rsid w:val="00A315B6"/>
    <w:rsid w:val="00A3189E"/>
    <w:rsid w:val="00A3201B"/>
    <w:rsid w:val="00A3394A"/>
    <w:rsid w:val="00A34B4A"/>
    <w:rsid w:val="00A35D08"/>
    <w:rsid w:val="00A379A3"/>
    <w:rsid w:val="00A404A5"/>
    <w:rsid w:val="00A40D42"/>
    <w:rsid w:val="00A4152C"/>
    <w:rsid w:val="00A416CA"/>
    <w:rsid w:val="00A41A93"/>
    <w:rsid w:val="00A4206F"/>
    <w:rsid w:val="00A42E1B"/>
    <w:rsid w:val="00A4385A"/>
    <w:rsid w:val="00A44456"/>
    <w:rsid w:val="00A44803"/>
    <w:rsid w:val="00A456F5"/>
    <w:rsid w:val="00A458FD"/>
    <w:rsid w:val="00A45989"/>
    <w:rsid w:val="00A45A21"/>
    <w:rsid w:val="00A45B84"/>
    <w:rsid w:val="00A464D8"/>
    <w:rsid w:val="00A46A5C"/>
    <w:rsid w:val="00A46F1F"/>
    <w:rsid w:val="00A5043A"/>
    <w:rsid w:val="00A505BF"/>
    <w:rsid w:val="00A519EA"/>
    <w:rsid w:val="00A52249"/>
    <w:rsid w:val="00A527D2"/>
    <w:rsid w:val="00A5282D"/>
    <w:rsid w:val="00A55127"/>
    <w:rsid w:val="00A56A1C"/>
    <w:rsid w:val="00A56E59"/>
    <w:rsid w:val="00A57089"/>
    <w:rsid w:val="00A57483"/>
    <w:rsid w:val="00A57559"/>
    <w:rsid w:val="00A60063"/>
    <w:rsid w:val="00A607FC"/>
    <w:rsid w:val="00A60860"/>
    <w:rsid w:val="00A6098B"/>
    <w:rsid w:val="00A6108A"/>
    <w:rsid w:val="00A6177F"/>
    <w:rsid w:val="00A61989"/>
    <w:rsid w:val="00A622D1"/>
    <w:rsid w:val="00A6240D"/>
    <w:rsid w:val="00A64853"/>
    <w:rsid w:val="00A6611F"/>
    <w:rsid w:val="00A662DE"/>
    <w:rsid w:val="00A6763D"/>
    <w:rsid w:val="00A70BFC"/>
    <w:rsid w:val="00A75D4C"/>
    <w:rsid w:val="00A76DDB"/>
    <w:rsid w:val="00A773EC"/>
    <w:rsid w:val="00A776EB"/>
    <w:rsid w:val="00A803CB"/>
    <w:rsid w:val="00A80F01"/>
    <w:rsid w:val="00A8134B"/>
    <w:rsid w:val="00A814A7"/>
    <w:rsid w:val="00A81D92"/>
    <w:rsid w:val="00A81DE9"/>
    <w:rsid w:val="00A85BB4"/>
    <w:rsid w:val="00A868B7"/>
    <w:rsid w:val="00A87BCF"/>
    <w:rsid w:val="00A87BEC"/>
    <w:rsid w:val="00A900EA"/>
    <w:rsid w:val="00A9070C"/>
    <w:rsid w:val="00A90ECC"/>
    <w:rsid w:val="00A91421"/>
    <w:rsid w:val="00A91593"/>
    <w:rsid w:val="00A9164E"/>
    <w:rsid w:val="00A9193B"/>
    <w:rsid w:val="00A91CE7"/>
    <w:rsid w:val="00A92193"/>
    <w:rsid w:val="00A92419"/>
    <w:rsid w:val="00A92748"/>
    <w:rsid w:val="00A92EF1"/>
    <w:rsid w:val="00A93408"/>
    <w:rsid w:val="00A9345D"/>
    <w:rsid w:val="00A948B7"/>
    <w:rsid w:val="00A954BF"/>
    <w:rsid w:val="00A974A2"/>
    <w:rsid w:val="00A976EA"/>
    <w:rsid w:val="00A978DD"/>
    <w:rsid w:val="00AA0594"/>
    <w:rsid w:val="00AA0F33"/>
    <w:rsid w:val="00AA1B25"/>
    <w:rsid w:val="00AA2B64"/>
    <w:rsid w:val="00AA2DEC"/>
    <w:rsid w:val="00AA4677"/>
    <w:rsid w:val="00AA550A"/>
    <w:rsid w:val="00AA6B15"/>
    <w:rsid w:val="00AB02FF"/>
    <w:rsid w:val="00AB1E0B"/>
    <w:rsid w:val="00AB3C35"/>
    <w:rsid w:val="00AB3DB1"/>
    <w:rsid w:val="00AB445D"/>
    <w:rsid w:val="00AB4ADE"/>
    <w:rsid w:val="00AB60DF"/>
    <w:rsid w:val="00AB660A"/>
    <w:rsid w:val="00AB6F4C"/>
    <w:rsid w:val="00AB7E72"/>
    <w:rsid w:val="00AC0EE2"/>
    <w:rsid w:val="00AC1888"/>
    <w:rsid w:val="00AC21C3"/>
    <w:rsid w:val="00AC28FD"/>
    <w:rsid w:val="00AC2D88"/>
    <w:rsid w:val="00AC2FD5"/>
    <w:rsid w:val="00AC3233"/>
    <w:rsid w:val="00AC3524"/>
    <w:rsid w:val="00AC3D59"/>
    <w:rsid w:val="00AC4084"/>
    <w:rsid w:val="00AC48C6"/>
    <w:rsid w:val="00AC5DBB"/>
    <w:rsid w:val="00AC5F2B"/>
    <w:rsid w:val="00AC6339"/>
    <w:rsid w:val="00AC6FDA"/>
    <w:rsid w:val="00AC7A09"/>
    <w:rsid w:val="00AC7AE2"/>
    <w:rsid w:val="00AD1171"/>
    <w:rsid w:val="00AD1C9B"/>
    <w:rsid w:val="00AD257D"/>
    <w:rsid w:val="00AD538D"/>
    <w:rsid w:val="00AD695E"/>
    <w:rsid w:val="00AD6C49"/>
    <w:rsid w:val="00AD7188"/>
    <w:rsid w:val="00AD7B07"/>
    <w:rsid w:val="00AE0057"/>
    <w:rsid w:val="00AE0844"/>
    <w:rsid w:val="00AE0F85"/>
    <w:rsid w:val="00AE1F8F"/>
    <w:rsid w:val="00AE2074"/>
    <w:rsid w:val="00AE296C"/>
    <w:rsid w:val="00AE2F5F"/>
    <w:rsid w:val="00AE532C"/>
    <w:rsid w:val="00AE6A8A"/>
    <w:rsid w:val="00AE7B96"/>
    <w:rsid w:val="00AF0820"/>
    <w:rsid w:val="00AF1CED"/>
    <w:rsid w:val="00AF21FD"/>
    <w:rsid w:val="00AF353B"/>
    <w:rsid w:val="00AF394D"/>
    <w:rsid w:val="00AF3BC8"/>
    <w:rsid w:val="00AF3F10"/>
    <w:rsid w:val="00AF4983"/>
    <w:rsid w:val="00AF658E"/>
    <w:rsid w:val="00AF674E"/>
    <w:rsid w:val="00AF6E24"/>
    <w:rsid w:val="00AF7AEE"/>
    <w:rsid w:val="00B01C69"/>
    <w:rsid w:val="00B02BDD"/>
    <w:rsid w:val="00B04E87"/>
    <w:rsid w:val="00B06B76"/>
    <w:rsid w:val="00B0724D"/>
    <w:rsid w:val="00B07C93"/>
    <w:rsid w:val="00B07F08"/>
    <w:rsid w:val="00B10301"/>
    <w:rsid w:val="00B12973"/>
    <w:rsid w:val="00B12D6B"/>
    <w:rsid w:val="00B143F9"/>
    <w:rsid w:val="00B15213"/>
    <w:rsid w:val="00B16785"/>
    <w:rsid w:val="00B172FD"/>
    <w:rsid w:val="00B177B2"/>
    <w:rsid w:val="00B17D7E"/>
    <w:rsid w:val="00B20C06"/>
    <w:rsid w:val="00B20E05"/>
    <w:rsid w:val="00B21454"/>
    <w:rsid w:val="00B2206E"/>
    <w:rsid w:val="00B22593"/>
    <w:rsid w:val="00B231AB"/>
    <w:rsid w:val="00B23717"/>
    <w:rsid w:val="00B24555"/>
    <w:rsid w:val="00B24F26"/>
    <w:rsid w:val="00B251A2"/>
    <w:rsid w:val="00B25345"/>
    <w:rsid w:val="00B2577D"/>
    <w:rsid w:val="00B25DF2"/>
    <w:rsid w:val="00B25EB1"/>
    <w:rsid w:val="00B25F54"/>
    <w:rsid w:val="00B26BA2"/>
    <w:rsid w:val="00B30051"/>
    <w:rsid w:val="00B30E63"/>
    <w:rsid w:val="00B3197E"/>
    <w:rsid w:val="00B31EA1"/>
    <w:rsid w:val="00B32FDA"/>
    <w:rsid w:val="00B33159"/>
    <w:rsid w:val="00B34A5F"/>
    <w:rsid w:val="00B34B86"/>
    <w:rsid w:val="00B35CFD"/>
    <w:rsid w:val="00B37081"/>
    <w:rsid w:val="00B371F7"/>
    <w:rsid w:val="00B3760D"/>
    <w:rsid w:val="00B409BF"/>
    <w:rsid w:val="00B4243A"/>
    <w:rsid w:val="00B42725"/>
    <w:rsid w:val="00B42E34"/>
    <w:rsid w:val="00B4317F"/>
    <w:rsid w:val="00B4354E"/>
    <w:rsid w:val="00B43DBC"/>
    <w:rsid w:val="00B43E7F"/>
    <w:rsid w:val="00B452E4"/>
    <w:rsid w:val="00B4533B"/>
    <w:rsid w:val="00B454E8"/>
    <w:rsid w:val="00B46717"/>
    <w:rsid w:val="00B468EF"/>
    <w:rsid w:val="00B46D00"/>
    <w:rsid w:val="00B5049C"/>
    <w:rsid w:val="00B504DA"/>
    <w:rsid w:val="00B5085D"/>
    <w:rsid w:val="00B51BD9"/>
    <w:rsid w:val="00B51DBF"/>
    <w:rsid w:val="00B5207E"/>
    <w:rsid w:val="00B53FFE"/>
    <w:rsid w:val="00B554D2"/>
    <w:rsid w:val="00B57922"/>
    <w:rsid w:val="00B601E2"/>
    <w:rsid w:val="00B60693"/>
    <w:rsid w:val="00B608A4"/>
    <w:rsid w:val="00B622E3"/>
    <w:rsid w:val="00B62BF2"/>
    <w:rsid w:val="00B657EB"/>
    <w:rsid w:val="00B65AE8"/>
    <w:rsid w:val="00B65F4A"/>
    <w:rsid w:val="00B669FF"/>
    <w:rsid w:val="00B67F12"/>
    <w:rsid w:val="00B71199"/>
    <w:rsid w:val="00B714E7"/>
    <w:rsid w:val="00B71DB9"/>
    <w:rsid w:val="00B728DD"/>
    <w:rsid w:val="00B72A11"/>
    <w:rsid w:val="00B72AB3"/>
    <w:rsid w:val="00B741CA"/>
    <w:rsid w:val="00B752CA"/>
    <w:rsid w:val="00B757B7"/>
    <w:rsid w:val="00B7590B"/>
    <w:rsid w:val="00B7704D"/>
    <w:rsid w:val="00B77503"/>
    <w:rsid w:val="00B77F09"/>
    <w:rsid w:val="00B80BF9"/>
    <w:rsid w:val="00B819CC"/>
    <w:rsid w:val="00B82A11"/>
    <w:rsid w:val="00B82BFA"/>
    <w:rsid w:val="00B83818"/>
    <w:rsid w:val="00B84174"/>
    <w:rsid w:val="00B84791"/>
    <w:rsid w:val="00B87CC7"/>
    <w:rsid w:val="00B90027"/>
    <w:rsid w:val="00B903B2"/>
    <w:rsid w:val="00B906F0"/>
    <w:rsid w:val="00B90BBB"/>
    <w:rsid w:val="00B922ED"/>
    <w:rsid w:val="00B93000"/>
    <w:rsid w:val="00B9419E"/>
    <w:rsid w:val="00B94FFA"/>
    <w:rsid w:val="00B957A6"/>
    <w:rsid w:val="00BA0C54"/>
    <w:rsid w:val="00BA0E53"/>
    <w:rsid w:val="00BA18AC"/>
    <w:rsid w:val="00BA27BA"/>
    <w:rsid w:val="00BA2BC4"/>
    <w:rsid w:val="00BA32A6"/>
    <w:rsid w:val="00BA416A"/>
    <w:rsid w:val="00BA4262"/>
    <w:rsid w:val="00BA4DC2"/>
    <w:rsid w:val="00BA587D"/>
    <w:rsid w:val="00BA7161"/>
    <w:rsid w:val="00BA7997"/>
    <w:rsid w:val="00BA7A08"/>
    <w:rsid w:val="00BA7A5C"/>
    <w:rsid w:val="00BB1767"/>
    <w:rsid w:val="00BB254C"/>
    <w:rsid w:val="00BB4B33"/>
    <w:rsid w:val="00BB5E1E"/>
    <w:rsid w:val="00BB6693"/>
    <w:rsid w:val="00BB769B"/>
    <w:rsid w:val="00BC07AC"/>
    <w:rsid w:val="00BC1212"/>
    <w:rsid w:val="00BC1773"/>
    <w:rsid w:val="00BC1A9B"/>
    <w:rsid w:val="00BC1B25"/>
    <w:rsid w:val="00BC2546"/>
    <w:rsid w:val="00BC32D1"/>
    <w:rsid w:val="00BC40A3"/>
    <w:rsid w:val="00BC4716"/>
    <w:rsid w:val="00BC4AC9"/>
    <w:rsid w:val="00BC5BAC"/>
    <w:rsid w:val="00BC5F39"/>
    <w:rsid w:val="00BC62A2"/>
    <w:rsid w:val="00BC6851"/>
    <w:rsid w:val="00BC6EE2"/>
    <w:rsid w:val="00BC7DA1"/>
    <w:rsid w:val="00BC7DA7"/>
    <w:rsid w:val="00BD01A7"/>
    <w:rsid w:val="00BD1101"/>
    <w:rsid w:val="00BD1455"/>
    <w:rsid w:val="00BD2269"/>
    <w:rsid w:val="00BD2EDA"/>
    <w:rsid w:val="00BD332C"/>
    <w:rsid w:val="00BD36A5"/>
    <w:rsid w:val="00BD3C87"/>
    <w:rsid w:val="00BD6535"/>
    <w:rsid w:val="00BD6A10"/>
    <w:rsid w:val="00BD7D68"/>
    <w:rsid w:val="00BE155B"/>
    <w:rsid w:val="00BE29AB"/>
    <w:rsid w:val="00BE2A7C"/>
    <w:rsid w:val="00BE3023"/>
    <w:rsid w:val="00BE3857"/>
    <w:rsid w:val="00BE452D"/>
    <w:rsid w:val="00BE4603"/>
    <w:rsid w:val="00BE4758"/>
    <w:rsid w:val="00BE4E16"/>
    <w:rsid w:val="00BE62A5"/>
    <w:rsid w:val="00BE71AA"/>
    <w:rsid w:val="00BF0F75"/>
    <w:rsid w:val="00BF2123"/>
    <w:rsid w:val="00BF3F2E"/>
    <w:rsid w:val="00BF4380"/>
    <w:rsid w:val="00BF450C"/>
    <w:rsid w:val="00BF5F88"/>
    <w:rsid w:val="00BF630E"/>
    <w:rsid w:val="00BF7BC9"/>
    <w:rsid w:val="00C00458"/>
    <w:rsid w:val="00C01787"/>
    <w:rsid w:val="00C01D29"/>
    <w:rsid w:val="00C01FFE"/>
    <w:rsid w:val="00C020F9"/>
    <w:rsid w:val="00C03DCF"/>
    <w:rsid w:val="00C04F9E"/>
    <w:rsid w:val="00C05216"/>
    <w:rsid w:val="00C05369"/>
    <w:rsid w:val="00C05AE7"/>
    <w:rsid w:val="00C06BFD"/>
    <w:rsid w:val="00C07156"/>
    <w:rsid w:val="00C07EAC"/>
    <w:rsid w:val="00C10AC3"/>
    <w:rsid w:val="00C12D36"/>
    <w:rsid w:val="00C1391A"/>
    <w:rsid w:val="00C13B16"/>
    <w:rsid w:val="00C147F0"/>
    <w:rsid w:val="00C1726F"/>
    <w:rsid w:val="00C200F6"/>
    <w:rsid w:val="00C20308"/>
    <w:rsid w:val="00C2162B"/>
    <w:rsid w:val="00C21C81"/>
    <w:rsid w:val="00C22572"/>
    <w:rsid w:val="00C2260F"/>
    <w:rsid w:val="00C232BC"/>
    <w:rsid w:val="00C239D4"/>
    <w:rsid w:val="00C242D9"/>
    <w:rsid w:val="00C25B87"/>
    <w:rsid w:val="00C267CD"/>
    <w:rsid w:val="00C31208"/>
    <w:rsid w:val="00C31D26"/>
    <w:rsid w:val="00C32BDC"/>
    <w:rsid w:val="00C32D57"/>
    <w:rsid w:val="00C35CED"/>
    <w:rsid w:val="00C37484"/>
    <w:rsid w:val="00C3788A"/>
    <w:rsid w:val="00C37EDA"/>
    <w:rsid w:val="00C408BD"/>
    <w:rsid w:val="00C41ACB"/>
    <w:rsid w:val="00C41F25"/>
    <w:rsid w:val="00C422AF"/>
    <w:rsid w:val="00C42A65"/>
    <w:rsid w:val="00C44698"/>
    <w:rsid w:val="00C44E15"/>
    <w:rsid w:val="00C452F1"/>
    <w:rsid w:val="00C4666D"/>
    <w:rsid w:val="00C47B4E"/>
    <w:rsid w:val="00C50830"/>
    <w:rsid w:val="00C523C1"/>
    <w:rsid w:val="00C525A2"/>
    <w:rsid w:val="00C53862"/>
    <w:rsid w:val="00C54171"/>
    <w:rsid w:val="00C547C9"/>
    <w:rsid w:val="00C54904"/>
    <w:rsid w:val="00C54A75"/>
    <w:rsid w:val="00C55F89"/>
    <w:rsid w:val="00C56E3B"/>
    <w:rsid w:val="00C57C8D"/>
    <w:rsid w:val="00C60515"/>
    <w:rsid w:val="00C60A38"/>
    <w:rsid w:val="00C61859"/>
    <w:rsid w:val="00C6298D"/>
    <w:rsid w:val="00C62F64"/>
    <w:rsid w:val="00C63ACD"/>
    <w:rsid w:val="00C63D0B"/>
    <w:rsid w:val="00C65610"/>
    <w:rsid w:val="00C6654A"/>
    <w:rsid w:val="00C6673E"/>
    <w:rsid w:val="00C66A82"/>
    <w:rsid w:val="00C66AED"/>
    <w:rsid w:val="00C66C5C"/>
    <w:rsid w:val="00C71671"/>
    <w:rsid w:val="00C7208A"/>
    <w:rsid w:val="00C74101"/>
    <w:rsid w:val="00C74213"/>
    <w:rsid w:val="00C75D9D"/>
    <w:rsid w:val="00C8095B"/>
    <w:rsid w:val="00C80DFB"/>
    <w:rsid w:val="00C817B6"/>
    <w:rsid w:val="00C8348C"/>
    <w:rsid w:val="00C846CB"/>
    <w:rsid w:val="00C84DA1"/>
    <w:rsid w:val="00C84EA6"/>
    <w:rsid w:val="00C8501B"/>
    <w:rsid w:val="00C875C3"/>
    <w:rsid w:val="00C907F8"/>
    <w:rsid w:val="00C9080E"/>
    <w:rsid w:val="00C91056"/>
    <w:rsid w:val="00C9171A"/>
    <w:rsid w:val="00C91A00"/>
    <w:rsid w:val="00C930E6"/>
    <w:rsid w:val="00C93F98"/>
    <w:rsid w:val="00C946A5"/>
    <w:rsid w:val="00C94BAB"/>
    <w:rsid w:val="00C94F03"/>
    <w:rsid w:val="00C965A0"/>
    <w:rsid w:val="00C96CDF"/>
    <w:rsid w:val="00C96E0D"/>
    <w:rsid w:val="00CA0873"/>
    <w:rsid w:val="00CA1711"/>
    <w:rsid w:val="00CA1AA5"/>
    <w:rsid w:val="00CA2F48"/>
    <w:rsid w:val="00CA37EF"/>
    <w:rsid w:val="00CA46CB"/>
    <w:rsid w:val="00CA622F"/>
    <w:rsid w:val="00CA7594"/>
    <w:rsid w:val="00CA765D"/>
    <w:rsid w:val="00CA789C"/>
    <w:rsid w:val="00CA7A47"/>
    <w:rsid w:val="00CA7B1C"/>
    <w:rsid w:val="00CA7C36"/>
    <w:rsid w:val="00CB0094"/>
    <w:rsid w:val="00CB0ED7"/>
    <w:rsid w:val="00CB18C1"/>
    <w:rsid w:val="00CB1BD7"/>
    <w:rsid w:val="00CB1D55"/>
    <w:rsid w:val="00CB3620"/>
    <w:rsid w:val="00CB3DA6"/>
    <w:rsid w:val="00CB3F1B"/>
    <w:rsid w:val="00CB43D3"/>
    <w:rsid w:val="00CB74F4"/>
    <w:rsid w:val="00CB7A60"/>
    <w:rsid w:val="00CC09D3"/>
    <w:rsid w:val="00CC1187"/>
    <w:rsid w:val="00CC1358"/>
    <w:rsid w:val="00CC191C"/>
    <w:rsid w:val="00CC1F08"/>
    <w:rsid w:val="00CC23F5"/>
    <w:rsid w:val="00CC2B61"/>
    <w:rsid w:val="00CC31B7"/>
    <w:rsid w:val="00CC5D78"/>
    <w:rsid w:val="00CC6A19"/>
    <w:rsid w:val="00CD034B"/>
    <w:rsid w:val="00CD0C69"/>
    <w:rsid w:val="00CD0E14"/>
    <w:rsid w:val="00CD1867"/>
    <w:rsid w:val="00CD26A6"/>
    <w:rsid w:val="00CD2DDC"/>
    <w:rsid w:val="00CD3EF8"/>
    <w:rsid w:val="00CD5868"/>
    <w:rsid w:val="00CD7305"/>
    <w:rsid w:val="00CE04CC"/>
    <w:rsid w:val="00CE1782"/>
    <w:rsid w:val="00CE1C48"/>
    <w:rsid w:val="00CE2E9C"/>
    <w:rsid w:val="00CE62EC"/>
    <w:rsid w:val="00CF02B5"/>
    <w:rsid w:val="00CF03F4"/>
    <w:rsid w:val="00CF10E7"/>
    <w:rsid w:val="00CF194C"/>
    <w:rsid w:val="00CF23B9"/>
    <w:rsid w:val="00CF4447"/>
    <w:rsid w:val="00CF448B"/>
    <w:rsid w:val="00CF5DE9"/>
    <w:rsid w:val="00D00815"/>
    <w:rsid w:val="00D011DF"/>
    <w:rsid w:val="00D022F1"/>
    <w:rsid w:val="00D04070"/>
    <w:rsid w:val="00D040D9"/>
    <w:rsid w:val="00D05799"/>
    <w:rsid w:val="00D05C6B"/>
    <w:rsid w:val="00D06A80"/>
    <w:rsid w:val="00D07B11"/>
    <w:rsid w:val="00D10775"/>
    <w:rsid w:val="00D10819"/>
    <w:rsid w:val="00D11074"/>
    <w:rsid w:val="00D115A3"/>
    <w:rsid w:val="00D121F9"/>
    <w:rsid w:val="00D1380D"/>
    <w:rsid w:val="00D17BA3"/>
    <w:rsid w:val="00D215D6"/>
    <w:rsid w:val="00D215F1"/>
    <w:rsid w:val="00D218A3"/>
    <w:rsid w:val="00D22022"/>
    <w:rsid w:val="00D228C7"/>
    <w:rsid w:val="00D22959"/>
    <w:rsid w:val="00D2366A"/>
    <w:rsid w:val="00D24425"/>
    <w:rsid w:val="00D245F8"/>
    <w:rsid w:val="00D259E0"/>
    <w:rsid w:val="00D26086"/>
    <w:rsid w:val="00D26329"/>
    <w:rsid w:val="00D278A8"/>
    <w:rsid w:val="00D30F11"/>
    <w:rsid w:val="00D314BE"/>
    <w:rsid w:val="00D32144"/>
    <w:rsid w:val="00D3289C"/>
    <w:rsid w:val="00D335F4"/>
    <w:rsid w:val="00D351AE"/>
    <w:rsid w:val="00D35314"/>
    <w:rsid w:val="00D357B9"/>
    <w:rsid w:val="00D3595F"/>
    <w:rsid w:val="00D36953"/>
    <w:rsid w:val="00D40CFB"/>
    <w:rsid w:val="00D4157C"/>
    <w:rsid w:val="00D4233F"/>
    <w:rsid w:val="00D43A80"/>
    <w:rsid w:val="00D43EBF"/>
    <w:rsid w:val="00D449F6"/>
    <w:rsid w:val="00D44ED1"/>
    <w:rsid w:val="00D45496"/>
    <w:rsid w:val="00D459C6"/>
    <w:rsid w:val="00D45FFA"/>
    <w:rsid w:val="00D464D4"/>
    <w:rsid w:val="00D46F03"/>
    <w:rsid w:val="00D50072"/>
    <w:rsid w:val="00D50700"/>
    <w:rsid w:val="00D50A7E"/>
    <w:rsid w:val="00D53832"/>
    <w:rsid w:val="00D559CE"/>
    <w:rsid w:val="00D56447"/>
    <w:rsid w:val="00D56B63"/>
    <w:rsid w:val="00D5744D"/>
    <w:rsid w:val="00D574BC"/>
    <w:rsid w:val="00D60D6A"/>
    <w:rsid w:val="00D61183"/>
    <w:rsid w:val="00D6171A"/>
    <w:rsid w:val="00D62069"/>
    <w:rsid w:val="00D62F92"/>
    <w:rsid w:val="00D63764"/>
    <w:rsid w:val="00D63A18"/>
    <w:rsid w:val="00D64904"/>
    <w:rsid w:val="00D659F6"/>
    <w:rsid w:val="00D65C41"/>
    <w:rsid w:val="00D66307"/>
    <w:rsid w:val="00D672DF"/>
    <w:rsid w:val="00D67833"/>
    <w:rsid w:val="00D70B4B"/>
    <w:rsid w:val="00D71D13"/>
    <w:rsid w:val="00D71DC6"/>
    <w:rsid w:val="00D72747"/>
    <w:rsid w:val="00D73B4B"/>
    <w:rsid w:val="00D73F95"/>
    <w:rsid w:val="00D75E1F"/>
    <w:rsid w:val="00D77FF5"/>
    <w:rsid w:val="00D8025C"/>
    <w:rsid w:val="00D80F8C"/>
    <w:rsid w:val="00D81995"/>
    <w:rsid w:val="00D8276A"/>
    <w:rsid w:val="00D835A8"/>
    <w:rsid w:val="00D83742"/>
    <w:rsid w:val="00D83E1E"/>
    <w:rsid w:val="00D8426D"/>
    <w:rsid w:val="00D84B20"/>
    <w:rsid w:val="00D84E9B"/>
    <w:rsid w:val="00D9096B"/>
    <w:rsid w:val="00D90B21"/>
    <w:rsid w:val="00D9156A"/>
    <w:rsid w:val="00D91BD1"/>
    <w:rsid w:val="00D93463"/>
    <w:rsid w:val="00D93754"/>
    <w:rsid w:val="00D957DD"/>
    <w:rsid w:val="00D96231"/>
    <w:rsid w:val="00D96534"/>
    <w:rsid w:val="00D96AEC"/>
    <w:rsid w:val="00D970BF"/>
    <w:rsid w:val="00D97649"/>
    <w:rsid w:val="00D97E17"/>
    <w:rsid w:val="00DA069E"/>
    <w:rsid w:val="00DA0AC3"/>
    <w:rsid w:val="00DA0DD3"/>
    <w:rsid w:val="00DA1379"/>
    <w:rsid w:val="00DA160A"/>
    <w:rsid w:val="00DA1A4F"/>
    <w:rsid w:val="00DA1AA1"/>
    <w:rsid w:val="00DA28F1"/>
    <w:rsid w:val="00DA2FE7"/>
    <w:rsid w:val="00DA324B"/>
    <w:rsid w:val="00DA35B8"/>
    <w:rsid w:val="00DA36BA"/>
    <w:rsid w:val="00DA43E5"/>
    <w:rsid w:val="00DA5211"/>
    <w:rsid w:val="00DA565A"/>
    <w:rsid w:val="00DA78ED"/>
    <w:rsid w:val="00DA7BBE"/>
    <w:rsid w:val="00DB0760"/>
    <w:rsid w:val="00DB0956"/>
    <w:rsid w:val="00DB144C"/>
    <w:rsid w:val="00DB1A49"/>
    <w:rsid w:val="00DB1CD3"/>
    <w:rsid w:val="00DB2E56"/>
    <w:rsid w:val="00DB3AE2"/>
    <w:rsid w:val="00DB4641"/>
    <w:rsid w:val="00DB4730"/>
    <w:rsid w:val="00DB477E"/>
    <w:rsid w:val="00DB4A8E"/>
    <w:rsid w:val="00DB60B2"/>
    <w:rsid w:val="00DB6B7C"/>
    <w:rsid w:val="00DB7A5E"/>
    <w:rsid w:val="00DC131A"/>
    <w:rsid w:val="00DC1422"/>
    <w:rsid w:val="00DC36AC"/>
    <w:rsid w:val="00DC4681"/>
    <w:rsid w:val="00DC621F"/>
    <w:rsid w:val="00DC642D"/>
    <w:rsid w:val="00DC652C"/>
    <w:rsid w:val="00DC7DC1"/>
    <w:rsid w:val="00DD0229"/>
    <w:rsid w:val="00DD05BC"/>
    <w:rsid w:val="00DD0929"/>
    <w:rsid w:val="00DD1572"/>
    <w:rsid w:val="00DD15E1"/>
    <w:rsid w:val="00DD25F8"/>
    <w:rsid w:val="00DD3B02"/>
    <w:rsid w:val="00DD40AC"/>
    <w:rsid w:val="00DD4BE3"/>
    <w:rsid w:val="00DD4E37"/>
    <w:rsid w:val="00DD55BB"/>
    <w:rsid w:val="00DD59AE"/>
    <w:rsid w:val="00DD5B20"/>
    <w:rsid w:val="00DD624A"/>
    <w:rsid w:val="00DD7A31"/>
    <w:rsid w:val="00DE0906"/>
    <w:rsid w:val="00DE163D"/>
    <w:rsid w:val="00DE1899"/>
    <w:rsid w:val="00DE3B94"/>
    <w:rsid w:val="00DE416A"/>
    <w:rsid w:val="00DE5023"/>
    <w:rsid w:val="00DE5ABA"/>
    <w:rsid w:val="00DE6C0A"/>
    <w:rsid w:val="00DE6DA3"/>
    <w:rsid w:val="00DE7C51"/>
    <w:rsid w:val="00DF149B"/>
    <w:rsid w:val="00DF15CA"/>
    <w:rsid w:val="00DF21C4"/>
    <w:rsid w:val="00DF3977"/>
    <w:rsid w:val="00DF45BA"/>
    <w:rsid w:val="00DF48F1"/>
    <w:rsid w:val="00DF7496"/>
    <w:rsid w:val="00E00C9F"/>
    <w:rsid w:val="00E00CA8"/>
    <w:rsid w:val="00E012EC"/>
    <w:rsid w:val="00E019FD"/>
    <w:rsid w:val="00E03ACD"/>
    <w:rsid w:val="00E04270"/>
    <w:rsid w:val="00E053D3"/>
    <w:rsid w:val="00E056EE"/>
    <w:rsid w:val="00E05B02"/>
    <w:rsid w:val="00E0604C"/>
    <w:rsid w:val="00E0778D"/>
    <w:rsid w:val="00E11195"/>
    <w:rsid w:val="00E14A38"/>
    <w:rsid w:val="00E15486"/>
    <w:rsid w:val="00E155E8"/>
    <w:rsid w:val="00E15DFD"/>
    <w:rsid w:val="00E176F9"/>
    <w:rsid w:val="00E17C92"/>
    <w:rsid w:val="00E20789"/>
    <w:rsid w:val="00E2212E"/>
    <w:rsid w:val="00E2311E"/>
    <w:rsid w:val="00E23385"/>
    <w:rsid w:val="00E2420B"/>
    <w:rsid w:val="00E2461F"/>
    <w:rsid w:val="00E24994"/>
    <w:rsid w:val="00E258DC"/>
    <w:rsid w:val="00E26D2B"/>
    <w:rsid w:val="00E272DD"/>
    <w:rsid w:val="00E275A8"/>
    <w:rsid w:val="00E27B95"/>
    <w:rsid w:val="00E27BBE"/>
    <w:rsid w:val="00E30463"/>
    <w:rsid w:val="00E30D17"/>
    <w:rsid w:val="00E3135D"/>
    <w:rsid w:val="00E34291"/>
    <w:rsid w:val="00E343CD"/>
    <w:rsid w:val="00E37588"/>
    <w:rsid w:val="00E376CB"/>
    <w:rsid w:val="00E3777A"/>
    <w:rsid w:val="00E377CE"/>
    <w:rsid w:val="00E37979"/>
    <w:rsid w:val="00E37E31"/>
    <w:rsid w:val="00E4058E"/>
    <w:rsid w:val="00E41069"/>
    <w:rsid w:val="00E420E6"/>
    <w:rsid w:val="00E42761"/>
    <w:rsid w:val="00E42C76"/>
    <w:rsid w:val="00E43415"/>
    <w:rsid w:val="00E44400"/>
    <w:rsid w:val="00E445C6"/>
    <w:rsid w:val="00E47069"/>
    <w:rsid w:val="00E50782"/>
    <w:rsid w:val="00E51AEF"/>
    <w:rsid w:val="00E51C65"/>
    <w:rsid w:val="00E522EA"/>
    <w:rsid w:val="00E53F65"/>
    <w:rsid w:val="00E56237"/>
    <w:rsid w:val="00E5642B"/>
    <w:rsid w:val="00E57646"/>
    <w:rsid w:val="00E57AEE"/>
    <w:rsid w:val="00E60154"/>
    <w:rsid w:val="00E6044E"/>
    <w:rsid w:val="00E6070A"/>
    <w:rsid w:val="00E608B4"/>
    <w:rsid w:val="00E61A92"/>
    <w:rsid w:val="00E62CD9"/>
    <w:rsid w:val="00E63746"/>
    <w:rsid w:val="00E641B2"/>
    <w:rsid w:val="00E65B29"/>
    <w:rsid w:val="00E65E61"/>
    <w:rsid w:val="00E662C1"/>
    <w:rsid w:val="00E67A6F"/>
    <w:rsid w:val="00E70E30"/>
    <w:rsid w:val="00E712AE"/>
    <w:rsid w:val="00E71C4E"/>
    <w:rsid w:val="00E73AAE"/>
    <w:rsid w:val="00E748D2"/>
    <w:rsid w:val="00E74CD1"/>
    <w:rsid w:val="00E757FF"/>
    <w:rsid w:val="00E76CBF"/>
    <w:rsid w:val="00E77813"/>
    <w:rsid w:val="00E80590"/>
    <w:rsid w:val="00E807EC"/>
    <w:rsid w:val="00E81D6C"/>
    <w:rsid w:val="00E832D3"/>
    <w:rsid w:val="00E84460"/>
    <w:rsid w:val="00E85080"/>
    <w:rsid w:val="00E858AE"/>
    <w:rsid w:val="00E86282"/>
    <w:rsid w:val="00E86CB8"/>
    <w:rsid w:val="00E8734B"/>
    <w:rsid w:val="00E87843"/>
    <w:rsid w:val="00E87922"/>
    <w:rsid w:val="00E916E4"/>
    <w:rsid w:val="00E91BE6"/>
    <w:rsid w:val="00E9382E"/>
    <w:rsid w:val="00E939AA"/>
    <w:rsid w:val="00E9468F"/>
    <w:rsid w:val="00E94EFC"/>
    <w:rsid w:val="00E953CE"/>
    <w:rsid w:val="00E955EE"/>
    <w:rsid w:val="00EA0530"/>
    <w:rsid w:val="00EA1196"/>
    <w:rsid w:val="00EA1742"/>
    <w:rsid w:val="00EA1DE1"/>
    <w:rsid w:val="00EA5DF2"/>
    <w:rsid w:val="00EA6BB6"/>
    <w:rsid w:val="00EA7A34"/>
    <w:rsid w:val="00EB2F81"/>
    <w:rsid w:val="00EB31F1"/>
    <w:rsid w:val="00EB35CC"/>
    <w:rsid w:val="00EB3994"/>
    <w:rsid w:val="00EB547B"/>
    <w:rsid w:val="00EB5661"/>
    <w:rsid w:val="00EB5CBB"/>
    <w:rsid w:val="00EB5FE3"/>
    <w:rsid w:val="00EB777E"/>
    <w:rsid w:val="00EC0ADB"/>
    <w:rsid w:val="00EC0CBE"/>
    <w:rsid w:val="00EC1555"/>
    <w:rsid w:val="00EC23AF"/>
    <w:rsid w:val="00EC44AD"/>
    <w:rsid w:val="00EC496C"/>
    <w:rsid w:val="00EC4F40"/>
    <w:rsid w:val="00EC542B"/>
    <w:rsid w:val="00EC606D"/>
    <w:rsid w:val="00EC6F34"/>
    <w:rsid w:val="00EC7944"/>
    <w:rsid w:val="00ED04BA"/>
    <w:rsid w:val="00ED1A48"/>
    <w:rsid w:val="00ED1EBE"/>
    <w:rsid w:val="00ED1F3E"/>
    <w:rsid w:val="00ED32F8"/>
    <w:rsid w:val="00ED34A8"/>
    <w:rsid w:val="00ED3BE1"/>
    <w:rsid w:val="00ED448A"/>
    <w:rsid w:val="00ED541C"/>
    <w:rsid w:val="00ED6561"/>
    <w:rsid w:val="00ED663F"/>
    <w:rsid w:val="00ED6B4F"/>
    <w:rsid w:val="00ED7281"/>
    <w:rsid w:val="00ED7BE5"/>
    <w:rsid w:val="00EE0700"/>
    <w:rsid w:val="00EE0929"/>
    <w:rsid w:val="00EE124E"/>
    <w:rsid w:val="00EE2490"/>
    <w:rsid w:val="00EE32EC"/>
    <w:rsid w:val="00EE3704"/>
    <w:rsid w:val="00EE3BBA"/>
    <w:rsid w:val="00EE3E08"/>
    <w:rsid w:val="00EE5B50"/>
    <w:rsid w:val="00EE6950"/>
    <w:rsid w:val="00EE6A1B"/>
    <w:rsid w:val="00EE74E6"/>
    <w:rsid w:val="00EF1B53"/>
    <w:rsid w:val="00EF31E1"/>
    <w:rsid w:val="00EF32D2"/>
    <w:rsid w:val="00EF38A6"/>
    <w:rsid w:val="00EF3B1E"/>
    <w:rsid w:val="00EF3FE3"/>
    <w:rsid w:val="00EF40C2"/>
    <w:rsid w:val="00EF41B3"/>
    <w:rsid w:val="00EF567B"/>
    <w:rsid w:val="00EF5CD7"/>
    <w:rsid w:val="00EF6D8D"/>
    <w:rsid w:val="00EF766E"/>
    <w:rsid w:val="00F00590"/>
    <w:rsid w:val="00F01559"/>
    <w:rsid w:val="00F046B8"/>
    <w:rsid w:val="00F04BA7"/>
    <w:rsid w:val="00F07366"/>
    <w:rsid w:val="00F07BF3"/>
    <w:rsid w:val="00F101C6"/>
    <w:rsid w:val="00F1027A"/>
    <w:rsid w:val="00F10522"/>
    <w:rsid w:val="00F114F4"/>
    <w:rsid w:val="00F11FF7"/>
    <w:rsid w:val="00F12143"/>
    <w:rsid w:val="00F126D7"/>
    <w:rsid w:val="00F1293A"/>
    <w:rsid w:val="00F136E8"/>
    <w:rsid w:val="00F141F7"/>
    <w:rsid w:val="00F16157"/>
    <w:rsid w:val="00F1673E"/>
    <w:rsid w:val="00F17C6C"/>
    <w:rsid w:val="00F17F73"/>
    <w:rsid w:val="00F20147"/>
    <w:rsid w:val="00F20D0F"/>
    <w:rsid w:val="00F2172A"/>
    <w:rsid w:val="00F21890"/>
    <w:rsid w:val="00F2193A"/>
    <w:rsid w:val="00F222FF"/>
    <w:rsid w:val="00F24BD9"/>
    <w:rsid w:val="00F24C99"/>
    <w:rsid w:val="00F25CC7"/>
    <w:rsid w:val="00F26876"/>
    <w:rsid w:val="00F26AD5"/>
    <w:rsid w:val="00F30DFD"/>
    <w:rsid w:val="00F31745"/>
    <w:rsid w:val="00F31F63"/>
    <w:rsid w:val="00F34A16"/>
    <w:rsid w:val="00F35246"/>
    <w:rsid w:val="00F35F03"/>
    <w:rsid w:val="00F36405"/>
    <w:rsid w:val="00F36544"/>
    <w:rsid w:val="00F40B31"/>
    <w:rsid w:val="00F40EEE"/>
    <w:rsid w:val="00F4487E"/>
    <w:rsid w:val="00F4665F"/>
    <w:rsid w:val="00F47381"/>
    <w:rsid w:val="00F509F5"/>
    <w:rsid w:val="00F50D14"/>
    <w:rsid w:val="00F52247"/>
    <w:rsid w:val="00F52271"/>
    <w:rsid w:val="00F532F8"/>
    <w:rsid w:val="00F53D23"/>
    <w:rsid w:val="00F54568"/>
    <w:rsid w:val="00F55403"/>
    <w:rsid w:val="00F555BC"/>
    <w:rsid w:val="00F55BCA"/>
    <w:rsid w:val="00F5611F"/>
    <w:rsid w:val="00F564E0"/>
    <w:rsid w:val="00F56C22"/>
    <w:rsid w:val="00F5706D"/>
    <w:rsid w:val="00F571DF"/>
    <w:rsid w:val="00F61EB0"/>
    <w:rsid w:val="00F6210A"/>
    <w:rsid w:val="00F62821"/>
    <w:rsid w:val="00F629A1"/>
    <w:rsid w:val="00F62C94"/>
    <w:rsid w:val="00F62E4B"/>
    <w:rsid w:val="00F63D29"/>
    <w:rsid w:val="00F67468"/>
    <w:rsid w:val="00F706D6"/>
    <w:rsid w:val="00F70916"/>
    <w:rsid w:val="00F70927"/>
    <w:rsid w:val="00F7114B"/>
    <w:rsid w:val="00F71A38"/>
    <w:rsid w:val="00F71E48"/>
    <w:rsid w:val="00F720AD"/>
    <w:rsid w:val="00F73DA1"/>
    <w:rsid w:val="00F73FDE"/>
    <w:rsid w:val="00F744FC"/>
    <w:rsid w:val="00F74AFE"/>
    <w:rsid w:val="00F75DD5"/>
    <w:rsid w:val="00F7739F"/>
    <w:rsid w:val="00F804BD"/>
    <w:rsid w:val="00F84F43"/>
    <w:rsid w:val="00F85068"/>
    <w:rsid w:val="00F8618C"/>
    <w:rsid w:val="00F871D0"/>
    <w:rsid w:val="00F8730C"/>
    <w:rsid w:val="00F87455"/>
    <w:rsid w:val="00F87854"/>
    <w:rsid w:val="00F87E09"/>
    <w:rsid w:val="00F91AD4"/>
    <w:rsid w:val="00F91C26"/>
    <w:rsid w:val="00F91CEA"/>
    <w:rsid w:val="00F92556"/>
    <w:rsid w:val="00F92FCE"/>
    <w:rsid w:val="00F93CCA"/>
    <w:rsid w:val="00F95E2F"/>
    <w:rsid w:val="00F96BAE"/>
    <w:rsid w:val="00F96D88"/>
    <w:rsid w:val="00F97CCC"/>
    <w:rsid w:val="00FA117B"/>
    <w:rsid w:val="00FA1946"/>
    <w:rsid w:val="00FA2073"/>
    <w:rsid w:val="00FA250E"/>
    <w:rsid w:val="00FA28B3"/>
    <w:rsid w:val="00FA2AD4"/>
    <w:rsid w:val="00FA43E2"/>
    <w:rsid w:val="00FA4A46"/>
    <w:rsid w:val="00FA54FB"/>
    <w:rsid w:val="00FA6C46"/>
    <w:rsid w:val="00FA7466"/>
    <w:rsid w:val="00FA7521"/>
    <w:rsid w:val="00FA7694"/>
    <w:rsid w:val="00FB0428"/>
    <w:rsid w:val="00FB08A3"/>
    <w:rsid w:val="00FB0C27"/>
    <w:rsid w:val="00FB0E34"/>
    <w:rsid w:val="00FB238B"/>
    <w:rsid w:val="00FB24EF"/>
    <w:rsid w:val="00FB2F1E"/>
    <w:rsid w:val="00FB3A30"/>
    <w:rsid w:val="00FB485B"/>
    <w:rsid w:val="00FB4B43"/>
    <w:rsid w:val="00FB5007"/>
    <w:rsid w:val="00FB6713"/>
    <w:rsid w:val="00FB6A74"/>
    <w:rsid w:val="00FB6E55"/>
    <w:rsid w:val="00FB7BA5"/>
    <w:rsid w:val="00FC0886"/>
    <w:rsid w:val="00FC0B94"/>
    <w:rsid w:val="00FC1C58"/>
    <w:rsid w:val="00FC2061"/>
    <w:rsid w:val="00FC34AD"/>
    <w:rsid w:val="00FC3B9A"/>
    <w:rsid w:val="00FC448D"/>
    <w:rsid w:val="00FC45B5"/>
    <w:rsid w:val="00FC6269"/>
    <w:rsid w:val="00FC67C3"/>
    <w:rsid w:val="00FD108B"/>
    <w:rsid w:val="00FD1F2E"/>
    <w:rsid w:val="00FD2AD3"/>
    <w:rsid w:val="00FD2BD7"/>
    <w:rsid w:val="00FD2C27"/>
    <w:rsid w:val="00FD2D4F"/>
    <w:rsid w:val="00FD2F3D"/>
    <w:rsid w:val="00FD33C0"/>
    <w:rsid w:val="00FD405F"/>
    <w:rsid w:val="00FD4BDB"/>
    <w:rsid w:val="00FD4C2D"/>
    <w:rsid w:val="00FD546C"/>
    <w:rsid w:val="00FD5706"/>
    <w:rsid w:val="00FD5E74"/>
    <w:rsid w:val="00FD648D"/>
    <w:rsid w:val="00FD7643"/>
    <w:rsid w:val="00FD7972"/>
    <w:rsid w:val="00FE0B0C"/>
    <w:rsid w:val="00FE1228"/>
    <w:rsid w:val="00FE1638"/>
    <w:rsid w:val="00FE3745"/>
    <w:rsid w:val="00FE431D"/>
    <w:rsid w:val="00FE46A7"/>
    <w:rsid w:val="00FE5303"/>
    <w:rsid w:val="00FE5D05"/>
    <w:rsid w:val="00FE707B"/>
    <w:rsid w:val="00FF0AD3"/>
    <w:rsid w:val="00FF10FB"/>
    <w:rsid w:val="00FF15D0"/>
    <w:rsid w:val="00FF1CB0"/>
    <w:rsid w:val="00FF2865"/>
    <w:rsid w:val="00FF4537"/>
    <w:rsid w:val="00FF6307"/>
    <w:rsid w:val="00FF692B"/>
    <w:rsid w:val="00FF7282"/>
    <w:rsid w:val="010A49E9"/>
    <w:rsid w:val="011740B7"/>
    <w:rsid w:val="01793AE9"/>
    <w:rsid w:val="017F1CDD"/>
    <w:rsid w:val="02762128"/>
    <w:rsid w:val="027E24F9"/>
    <w:rsid w:val="0302092A"/>
    <w:rsid w:val="030F7817"/>
    <w:rsid w:val="039F6838"/>
    <w:rsid w:val="03A97621"/>
    <w:rsid w:val="03EC1813"/>
    <w:rsid w:val="042B633D"/>
    <w:rsid w:val="043E7A67"/>
    <w:rsid w:val="04450C8A"/>
    <w:rsid w:val="048A48F0"/>
    <w:rsid w:val="0495336C"/>
    <w:rsid w:val="04A55454"/>
    <w:rsid w:val="04A83564"/>
    <w:rsid w:val="04D766C5"/>
    <w:rsid w:val="04F24C32"/>
    <w:rsid w:val="055B3FA5"/>
    <w:rsid w:val="05872D7D"/>
    <w:rsid w:val="058B1508"/>
    <w:rsid w:val="05985428"/>
    <w:rsid w:val="06141FF6"/>
    <w:rsid w:val="061B2EDF"/>
    <w:rsid w:val="06236251"/>
    <w:rsid w:val="066D769F"/>
    <w:rsid w:val="067E33BF"/>
    <w:rsid w:val="06D33075"/>
    <w:rsid w:val="070E5D71"/>
    <w:rsid w:val="072011CC"/>
    <w:rsid w:val="077B7DF8"/>
    <w:rsid w:val="078A7BA1"/>
    <w:rsid w:val="07C637C5"/>
    <w:rsid w:val="07D1417B"/>
    <w:rsid w:val="07D84A58"/>
    <w:rsid w:val="082D7309"/>
    <w:rsid w:val="0857511A"/>
    <w:rsid w:val="08CD6324"/>
    <w:rsid w:val="08CE5638"/>
    <w:rsid w:val="08D96CDC"/>
    <w:rsid w:val="097B7B14"/>
    <w:rsid w:val="098F290C"/>
    <w:rsid w:val="09C864CC"/>
    <w:rsid w:val="09E2494F"/>
    <w:rsid w:val="0A9941EA"/>
    <w:rsid w:val="0B243B32"/>
    <w:rsid w:val="0B412A01"/>
    <w:rsid w:val="0B565539"/>
    <w:rsid w:val="0B743973"/>
    <w:rsid w:val="0BD13FAE"/>
    <w:rsid w:val="0BDB37C2"/>
    <w:rsid w:val="0C0A4583"/>
    <w:rsid w:val="0C2F2654"/>
    <w:rsid w:val="0C9C1E64"/>
    <w:rsid w:val="0CED3CAE"/>
    <w:rsid w:val="0CF516D2"/>
    <w:rsid w:val="0D0B707F"/>
    <w:rsid w:val="0D0C2489"/>
    <w:rsid w:val="0D1A379F"/>
    <w:rsid w:val="0D9478F7"/>
    <w:rsid w:val="0E226389"/>
    <w:rsid w:val="0E2F364D"/>
    <w:rsid w:val="0E8A5CCE"/>
    <w:rsid w:val="0EB63698"/>
    <w:rsid w:val="0ECE61B6"/>
    <w:rsid w:val="0EE4525A"/>
    <w:rsid w:val="0EE849EB"/>
    <w:rsid w:val="0F0240FF"/>
    <w:rsid w:val="0F0D1A47"/>
    <w:rsid w:val="0F1420D7"/>
    <w:rsid w:val="0F4776B9"/>
    <w:rsid w:val="0F5939F3"/>
    <w:rsid w:val="0F6D0160"/>
    <w:rsid w:val="10400165"/>
    <w:rsid w:val="10806DFB"/>
    <w:rsid w:val="10C457F1"/>
    <w:rsid w:val="110F21B7"/>
    <w:rsid w:val="111866C1"/>
    <w:rsid w:val="11280A5F"/>
    <w:rsid w:val="118813D3"/>
    <w:rsid w:val="11922724"/>
    <w:rsid w:val="121046FA"/>
    <w:rsid w:val="12491FC7"/>
    <w:rsid w:val="128B081F"/>
    <w:rsid w:val="12A842A3"/>
    <w:rsid w:val="131A407B"/>
    <w:rsid w:val="133821F6"/>
    <w:rsid w:val="13C430B9"/>
    <w:rsid w:val="14157A9D"/>
    <w:rsid w:val="14275B66"/>
    <w:rsid w:val="14296C8F"/>
    <w:rsid w:val="14627900"/>
    <w:rsid w:val="14653BF9"/>
    <w:rsid w:val="14D07F69"/>
    <w:rsid w:val="150A7085"/>
    <w:rsid w:val="151005C9"/>
    <w:rsid w:val="155B6438"/>
    <w:rsid w:val="157C7571"/>
    <w:rsid w:val="159713D6"/>
    <w:rsid w:val="159D46FD"/>
    <w:rsid w:val="16080AEB"/>
    <w:rsid w:val="16311356"/>
    <w:rsid w:val="16624EA6"/>
    <w:rsid w:val="16D26F12"/>
    <w:rsid w:val="17BE4F8D"/>
    <w:rsid w:val="18044EB3"/>
    <w:rsid w:val="180B2A99"/>
    <w:rsid w:val="180D7498"/>
    <w:rsid w:val="18420234"/>
    <w:rsid w:val="18500B09"/>
    <w:rsid w:val="18713A11"/>
    <w:rsid w:val="18747A4D"/>
    <w:rsid w:val="187573A9"/>
    <w:rsid w:val="18BE60E6"/>
    <w:rsid w:val="191F5F19"/>
    <w:rsid w:val="196D1E8A"/>
    <w:rsid w:val="197A7343"/>
    <w:rsid w:val="198028A8"/>
    <w:rsid w:val="19BF05AA"/>
    <w:rsid w:val="1ABF442E"/>
    <w:rsid w:val="1AD56571"/>
    <w:rsid w:val="1B283517"/>
    <w:rsid w:val="1B3F785E"/>
    <w:rsid w:val="1B667751"/>
    <w:rsid w:val="1B72200D"/>
    <w:rsid w:val="1BC0742D"/>
    <w:rsid w:val="1C2A336B"/>
    <w:rsid w:val="1C3B3B1D"/>
    <w:rsid w:val="1CF33C7B"/>
    <w:rsid w:val="1D1975A1"/>
    <w:rsid w:val="1D28515F"/>
    <w:rsid w:val="1D444139"/>
    <w:rsid w:val="1D4E3D95"/>
    <w:rsid w:val="1D7B3517"/>
    <w:rsid w:val="1DAD43AA"/>
    <w:rsid w:val="1DC016B3"/>
    <w:rsid w:val="1E132EA3"/>
    <w:rsid w:val="1E152721"/>
    <w:rsid w:val="1E350760"/>
    <w:rsid w:val="1E3C1064"/>
    <w:rsid w:val="1E924D34"/>
    <w:rsid w:val="1EAA78E1"/>
    <w:rsid w:val="1EAC041A"/>
    <w:rsid w:val="1EBB2B93"/>
    <w:rsid w:val="1EE2273A"/>
    <w:rsid w:val="1EF63830"/>
    <w:rsid w:val="1F11564E"/>
    <w:rsid w:val="1F774076"/>
    <w:rsid w:val="1F9C49C2"/>
    <w:rsid w:val="1FB42FDE"/>
    <w:rsid w:val="1FC12A3A"/>
    <w:rsid w:val="203A6607"/>
    <w:rsid w:val="207D76BD"/>
    <w:rsid w:val="208175DA"/>
    <w:rsid w:val="20C43A3A"/>
    <w:rsid w:val="20F4072C"/>
    <w:rsid w:val="21066D6B"/>
    <w:rsid w:val="215323A8"/>
    <w:rsid w:val="21547729"/>
    <w:rsid w:val="217F220C"/>
    <w:rsid w:val="21E77D97"/>
    <w:rsid w:val="220C3193"/>
    <w:rsid w:val="221D544A"/>
    <w:rsid w:val="222128BA"/>
    <w:rsid w:val="22613646"/>
    <w:rsid w:val="232850E9"/>
    <w:rsid w:val="235202ED"/>
    <w:rsid w:val="235D022D"/>
    <w:rsid w:val="239B3859"/>
    <w:rsid w:val="24175CDF"/>
    <w:rsid w:val="241946F9"/>
    <w:rsid w:val="24684A67"/>
    <w:rsid w:val="24C6107B"/>
    <w:rsid w:val="24E131E0"/>
    <w:rsid w:val="24E27D67"/>
    <w:rsid w:val="24EE7B8D"/>
    <w:rsid w:val="25970015"/>
    <w:rsid w:val="259A1D44"/>
    <w:rsid w:val="25A8107D"/>
    <w:rsid w:val="25AA3AF6"/>
    <w:rsid w:val="25F523DD"/>
    <w:rsid w:val="26030169"/>
    <w:rsid w:val="262F134D"/>
    <w:rsid w:val="26D15B4C"/>
    <w:rsid w:val="2709330B"/>
    <w:rsid w:val="27166C9E"/>
    <w:rsid w:val="273E7932"/>
    <w:rsid w:val="276C712A"/>
    <w:rsid w:val="27A2184B"/>
    <w:rsid w:val="27A74DC9"/>
    <w:rsid w:val="2823009B"/>
    <w:rsid w:val="283547A4"/>
    <w:rsid w:val="2841616C"/>
    <w:rsid w:val="289139FF"/>
    <w:rsid w:val="28C92F33"/>
    <w:rsid w:val="290E7D08"/>
    <w:rsid w:val="292B7D00"/>
    <w:rsid w:val="295B5AAD"/>
    <w:rsid w:val="29972B06"/>
    <w:rsid w:val="29BB3EF9"/>
    <w:rsid w:val="2A202F5A"/>
    <w:rsid w:val="2A4D7F96"/>
    <w:rsid w:val="2A77015B"/>
    <w:rsid w:val="2A7B57C5"/>
    <w:rsid w:val="2AD1646F"/>
    <w:rsid w:val="2ADA36FD"/>
    <w:rsid w:val="2AFB4DA8"/>
    <w:rsid w:val="2B0973A2"/>
    <w:rsid w:val="2B192153"/>
    <w:rsid w:val="2B617400"/>
    <w:rsid w:val="2B7D43C5"/>
    <w:rsid w:val="2B863139"/>
    <w:rsid w:val="2B9D6694"/>
    <w:rsid w:val="2C025256"/>
    <w:rsid w:val="2C356B1D"/>
    <w:rsid w:val="2C533CF9"/>
    <w:rsid w:val="2C775AA0"/>
    <w:rsid w:val="2C8B6FEB"/>
    <w:rsid w:val="2CAA4DF1"/>
    <w:rsid w:val="2CF60ED0"/>
    <w:rsid w:val="2D1E6684"/>
    <w:rsid w:val="2D9E0139"/>
    <w:rsid w:val="2DA10EC0"/>
    <w:rsid w:val="2DD01F5C"/>
    <w:rsid w:val="2E264A5B"/>
    <w:rsid w:val="2E551E55"/>
    <w:rsid w:val="2E7D3A66"/>
    <w:rsid w:val="2E8E169D"/>
    <w:rsid w:val="2E965A5C"/>
    <w:rsid w:val="2EB6081E"/>
    <w:rsid w:val="2ECF69DC"/>
    <w:rsid w:val="2F5F0F92"/>
    <w:rsid w:val="2F6540D0"/>
    <w:rsid w:val="2F9A12F8"/>
    <w:rsid w:val="2FB366A3"/>
    <w:rsid w:val="2FBC441F"/>
    <w:rsid w:val="2FCB6F38"/>
    <w:rsid w:val="2FE60494"/>
    <w:rsid w:val="30072681"/>
    <w:rsid w:val="30074E63"/>
    <w:rsid w:val="304A3587"/>
    <w:rsid w:val="30620BCB"/>
    <w:rsid w:val="306950F1"/>
    <w:rsid w:val="309946E8"/>
    <w:rsid w:val="30F70645"/>
    <w:rsid w:val="31283A96"/>
    <w:rsid w:val="3136661A"/>
    <w:rsid w:val="31A0238C"/>
    <w:rsid w:val="31A264D3"/>
    <w:rsid w:val="31D820E5"/>
    <w:rsid w:val="322558A2"/>
    <w:rsid w:val="326246F0"/>
    <w:rsid w:val="32723F37"/>
    <w:rsid w:val="328B1BCF"/>
    <w:rsid w:val="32990FA7"/>
    <w:rsid w:val="32D17B6D"/>
    <w:rsid w:val="32EC2379"/>
    <w:rsid w:val="32ED2C37"/>
    <w:rsid w:val="32F036BE"/>
    <w:rsid w:val="32FB508E"/>
    <w:rsid w:val="330B4137"/>
    <w:rsid w:val="332D629F"/>
    <w:rsid w:val="33360E51"/>
    <w:rsid w:val="334C6C1C"/>
    <w:rsid w:val="3354613B"/>
    <w:rsid w:val="337211E0"/>
    <w:rsid w:val="33E340D6"/>
    <w:rsid w:val="34014E2D"/>
    <w:rsid w:val="34230A0B"/>
    <w:rsid w:val="344B4C9C"/>
    <w:rsid w:val="3456284B"/>
    <w:rsid w:val="3487762B"/>
    <w:rsid w:val="34A95F81"/>
    <w:rsid w:val="34AA267A"/>
    <w:rsid w:val="351E2D3A"/>
    <w:rsid w:val="354B259C"/>
    <w:rsid w:val="354E3999"/>
    <w:rsid w:val="35717887"/>
    <w:rsid w:val="35725689"/>
    <w:rsid w:val="35890A0E"/>
    <w:rsid w:val="35E606BD"/>
    <w:rsid w:val="361C5BE4"/>
    <w:rsid w:val="36B83AA6"/>
    <w:rsid w:val="36CA171C"/>
    <w:rsid w:val="36EA3D2C"/>
    <w:rsid w:val="36FC365D"/>
    <w:rsid w:val="371A0EDE"/>
    <w:rsid w:val="37517399"/>
    <w:rsid w:val="37712D69"/>
    <w:rsid w:val="37985D5E"/>
    <w:rsid w:val="37B66C1C"/>
    <w:rsid w:val="37B71C94"/>
    <w:rsid w:val="37BD513A"/>
    <w:rsid w:val="37CC363B"/>
    <w:rsid w:val="37FC152B"/>
    <w:rsid w:val="37FE2247"/>
    <w:rsid w:val="3812775B"/>
    <w:rsid w:val="38430BF6"/>
    <w:rsid w:val="38996E44"/>
    <w:rsid w:val="39205E92"/>
    <w:rsid w:val="39470644"/>
    <w:rsid w:val="39504CC0"/>
    <w:rsid w:val="395752AD"/>
    <w:rsid w:val="3971197A"/>
    <w:rsid w:val="3995064E"/>
    <w:rsid w:val="39A9321E"/>
    <w:rsid w:val="39B07606"/>
    <w:rsid w:val="3A09411C"/>
    <w:rsid w:val="3A581A3F"/>
    <w:rsid w:val="3A9618F7"/>
    <w:rsid w:val="3A9B7BB5"/>
    <w:rsid w:val="3AB6709B"/>
    <w:rsid w:val="3B182243"/>
    <w:rsid w:val="3B49758C"/>
    <w:rsid w:val="3B585C45"/>
    <w:rsid w:val="3B9E7AB7"/>
    <w:rsid w:val="3B9F3F65"/>
    <w:rsid w:val="3BD17A6D"/>
    <w:rsid w:val="3BE33DCE"/>
    <w:rsid w:val="3C562D96"/>
    <w:rsid w:val="3C7E02AA"/>
    <w:rsid w:val="3D071014"/>
    <w:rsid w:val="3D3C77F0"/>
    <w:rsid w:val="3D432C9D"/>
    <w:rsid w:val="3D5F1101"/>
    <w:rsid w:val="3D6F7FE0"/>
    <w:rsid w:val="3DA90419"/>
    <w:rsid w:val="3DBC3D82"/>
    <w:rsid w:val="3DE1077A"/>
    <w:rsid w:val="3DE52A56"/>
    <w:rsid w:val="3EAA0BBD"/>
    <w:rsid w:val="3EAE7812"/>
    <w:rsid w:val="3FD815CA"/>
    <w:rsid w:val="3FE875CD"/>
    <w:rsid w:val="400D33CC"/>
    <w:rsid w:val="400E53BF"/>
    <w:rsid w:val="40335060"/>
    <w:rsid w:val="40B74C5F"/>
    <w:rsid w:val="40DE20CC"/>
    <w:rsid w:val="41397C8D"/>
    <w:rsid w:val="41785068"/>
    <w:rsid w:val="41890CC1"/>
    <w:rsid w:val="41B65BBE"/>
    <w:rsid w:val="41BF2694"/>
    <w:rsid w:val="42051838"/>
    <w:rsid w:val="42351413"/>
    <w:rsid w:val="42564E05"/>
    <w:rsid w:val="42647043"/>
    <w:rsid w:val="42813061"/>
    <w:rsid w:val="42D413F3"/>
    <w:rsid w:val="42D471F3"/>
    <w:rsid w:val="42DA17FD"/>
    <w:rsid w:val="433920FE"/>
    <w:rsid w:val="434E0652"/>
    <w:rsid w:val="434E58B4"/>
    <w:rsid w:val="436F557B"/>
    <w:rsid w:val="437F703B"/>
    <w:rsid w:val="43A402A4"/>
    <w:rsid w:val="43FC0BF7"/>
    <w:rsid w:val="441158A4"/>
    <w:rsid w:val="441B665B"/>
    <w:rsid w:val="44693E03"/>
    <w:rsid w:val="44887CEF"/>
    <w:rsid w:val="4497464C"/>
    <w:rsid w:val="44E57F88"/>
    <w:rsid w:val="451A3D1E"/>
    <w:rsid w:val="45310B34"/>
    <w:rsid w:val="45533DF4"/>
    <w:rsid w:val="45864B35"/>
    <w:rsid w:val="45872688"/>
    <w:rsid w:val="45A826C8"/>
    <w:rsid w:val="45C37413"/>
    <w:rsid w:val="45D309DF"/>
    <w:rsid w:val="45DE3B5E"/>
    <w:rsid w:val="462C13BA"/>
    <w:rsid w:val="462C318A"/>
    <w:rsid w:val="467457E3"/>
    <w:rsid w:val="46DF6BD4"/>
    <w:rsid w:val="46E56D45"/>
    <w:rsid w:val="46FF530B"/>
    <w:rsid w:val="4718001E"/>
    <w:rsid w:val="47481E63"/>
    <w:rsid w:val="47687637"/>
    <w:rsid w:val="47BD6792"/>
    <w:rsid w:val="47BF194A"/>
    <w:rsid w:val="47C20AEA"/>
    <w:rsid w:val="47C756CB"/>
    <w:rsid w:val="48116CB0"/>
    <w:rsid w:val="48205C29"/>
    <w:rsid w:val="48307630"/>
    <w:rsid w:val="484A548D"/>
    <w:rsid w:val="488614BA"/>
    <w:rsid w:val="48911870"/>
    <w:rsid w:val="48A36054"/>
    <w:rsid w:val="48AC1BA7"/>
    <w:rsid w:val="48CB269D"/>
    <w:rsid w:val="48E10A98"/>
    <w:rsid w:val="48E96DFA"/>
    <w:rsid w:val="48F102F3"/>
    <w:rsid w:val="49137912"/>
    <w:rsid w:val="49255DC9"/>
    <w:rsid w:val="492E649C"/>
    <w:rsid w:val="49525D13"/>
    <w:rsid w:val="49636390"/>
    <w:rsid w:val="49714041"/>
    <w:rsid w:val="498D1D53"/>
    <w:rsid w:val="499352D9"/>
    <w:rsid w:val="49B63D53"/>
    <w:rsid w:val="49CF4189"/>
    <w:rsid w:val="49EA733E"/>
    <w:rsid w:val="49F16DD1"/>
    <w:rsid w:val="4AA86A3D"/>
    <w:rsid w:val="4AB762E2"/>
    <w:rsid w:val="4AE14174"/>
    <w:rsid w:val="4B03386F"/>
    <w:rsid w:val="4B2B6592"/>
    <w:rsid w:val="4B3E2BFA"/>
    <w:rsid w:val="4B6E2156"/>
    <w:rsid w:val="4B876B12"/>
    <w:rsid w:val="4B8B6547"/>
    <w:rsid w:val="4BB635E1"/>
    <w:rsid w:val="4BC239A4"/>
    <w:rsid w:val="4BC3436A"/>
    <w:rsid w:val="4BDC641E"/>
    <w:rsid w:val="4BFD45FE"/>
    <w:rsid w:val="4C16200C"/>
    <w:rsid w:val="4C303BF5"/>
    <w:rsid w:val="4C345F47"/>
    <w:rsid w:val="4CD1023D"/>
    <w:rsid w:val="4CFC17FF"/>
    <w:rsid w:val="4D1347DA"/>
    <w:rsid w:val="4D544FF3"/>
    <w:rsid w:val="4D7A63D8"/>
    <w:rsid w:val="4DCD0416"/>
    <w:rsid w:val="4DDC49D0"/>
    <w:rsid w:val="4DF85597"/>
    <w:rsid w:val="4E0E24D4"/>
    <w:rsid w:val="4E813C28"/>
    <w:rsid w:val="4F33794F"/>
    <w:rsid w:val="4FE73A2C"/>
    <w:rsid w:val="4FFE1E03"/>
    <w:rsid w:val="5022212F"/>
    <w:rsid w:val="502D003C"/>
    <w:rsid w:val="503E3E0D"/>
    <w:rsid w:val="50457593"/>
    <w:rsid w:val="50824092"/>
    <w:rsid w:val="52E26A07"/>
    <w:rsid w:val="532B75CC"/>
    <w:rsid w:val="53845394"/>
    <w:rsid w:val="538726FC"/>
    <w:rsid w:val="53922F8C"/>
    <w:rsid w:val="53B34CFF"/>
    <w:rsid w:val="53BB6E2A"/>
    <w:rsid w:val="53BC09A4"/>
    <w:rsid w:val="53C2445F"/>
    <w:rsid w:val="53DA06B0"/>
    <w:rsid w:val="53EA517D"/>
    <w:rsid w:val="53FA5B34"/>
    <w:rsid w:val="542A0B15"/>
    <w:rsid w:val="545B1D62"/>
    <w:rsid w:val="54C3366B"/>
    <w:rsid w:val="54DC1AA7"/>
    <w:rsid w:val="54DF2FC4"/>
    <w:rsid w:val="54FA0B29"/>
    <w:rsid w:val="54FC68D1"/>
    <w:rsid w:val="55041E5E"/>
    <w:rsid w:val="553743F4"/>
    <w:rsid w:val="554B38EB"/>
    <w:rsid w:val="5569550B"/>
    <w:rsid w:val="556E27B4"/>
    <w:rsid w:val="55946121"/>
    <w:rsid w:val="55D67A7B"/>
    <w:rsid w:val="55FF5602"/>
    <w:rsid w:val="56211565"/>
    <w:rsid w:val="563534C4"/>
    <w:rsid w:val="56CD21B7"/>
    <w:rsid w:val="56D95F65"/>
    <w:rsid w:val="56DE73DE"/>
    <w:rsid w:val="57125F90"/>
    <w:rsid w:val="575C6F8F"/>
    <w:rsid w:val="579413B1"/>
    <w:rsid w:val="57DD76EB"/>
    <w:rsid w:val="582416C0"/>
    <w:rsid w:val="58433772"/>
    <w:rsid w:val="588B475D"/>
    <w:rsid w:val="5894024B"/>
    <w:rsid w:val="58A406B3"/>
    <w:rsid w:val="58A54477"/>
    <w:rsid w:val="58E93BCD"/>
    <w:rsid w:val="58FD3A1D"/>
    <w:rsid w:val="590D56B7"/>
    <w:rsid w:val="5916086E"/>
    <w:rsid w:val="594E7E34"/>
    <w:rsid w:val="59546190"/>
    <w:rsid w:val="59911823"/>
    <w:rsid w:val="59AE32D5"/>
    <w:rsid w:val="5A616E56"/>
    <w:rsid w:val="5A774768"/>
    <w:rsid w:val="5AAB4000"/>
    <w:rsid w:val="5AAE4728"/>
    <w:rsid w:val="5ABA7CA3"/>
    <w:rsid w:val="5AD50F61"/>
    <w:rsid w:val="5AF638FB"/>
    <w:rsid w:val="5B6E6955"/>
    <w:rsid w:val="5B9A051F"/>
    <w:rsid w:val="5BB62E1D"/>
    <w:rsid w:val="5BD93F01"/>
    <w:rsid w:val="5C3E0347"/>
    <w:rsid w:val="5C546A21"/>
    <w:rsid w:val="5C6174BA"/>
    <w:rsid w:val="5CC4642A"/>
    <w:rsid w:val="5CC82637"/>
    <w:rsid w:val="5CF0792B"/>
    <w:rsid w:val="5CF675E2"/>
    <w:rsid w:val="5D05171E"/>
    <w:rsid w:val="5D0F65BC"/>
    <w:rsid w:val="5D2A4820"/>
    <w:rsid w:val="5D3A7E6B"/>
    <w:rsid w:val="5D7A6B9A"/>
    <w:rsid w:val="5DA20599"/>
    <w:rsid w:val="5DB27C40"/>
    <w:rsid w:val="5DB45C13"/>
    <w:rsid w:val="5DCA53D6"/>
    <w:rsid w:val="5E052352"/>
    <w:rsid w:val="5E5477D9"/>
    <w:rsid w:val="5E6865E7"/>
    <w:rsid w:val="5E6E3666"/>
    <w:rsid w:val="5ED21F95"/>
    <w:rsid w:val="5F282914"/>
    <w:rsid w:val="5F7D7342"/>
    <w:rsid w:val="5FD03DE8"/>
    <w:rsid w:val="60497466"/>
    <w:rsid w:val="60992671"/>
    <w:rsid w:val="60A50A85"/>
    <w:rsid w:val="61066CE0"/>
    <w:rsid w:val="61291638"/>
    <w:rsid w:val="61410156"/>
    <w:rsid w:val="614450B7"/>
    <w:rsid w:val="61456FEA"/>
    <w:rsid w:val="614704D1"/>
    <w:rsid w:val="614843B5"/>
    <w:rsid w:val="618374A5"/>
    <w:rsid w:val="61D21C1E"/>
    <w:rsid w:val="61DE4805"/>
    <w:rsid w:val="61EE128F"/>
    <w:rsid w:val="6273089D"/>
    <w:rsid w:val="627F10AD"/>
    <w:rsid w:val="62B20C4C"/>
    <w:rsid w:val="62DC0EF3"/>
    <w:rsid w:val="63264626"/>
    <w:rsid w:val="633129B9"/>
    <w:rsid w:val="647B5270"/>
    <w:rsid w:val="64923EEF"/>
    <w:rsid w:val="64BF56DC"/>
    <w:rsid w:val="64EB5C40"/>
    <w:rsid w:val="64F652B1"/>
    <w:rsid w:val="65125A98"/>
    <w:rsid w:val="653522E6"/>
    <w:rsid w:val="659E5697"/>
    <w:rsid w:val="661077B2"/>
    <w:rsid w:val="66402B28"/>
    <w:rsid w:val="66424C12"/>
    <w:rsid w:val="66CC69FC"/>
    <w:rsid w:val="66E46AB0"/>
    <w:rsid w:val="675047DE"/>
    <w:rsid w:val="6771087D"/>
    <w:rsid w:val="67B160BE"/>
    <w:rsid w:val="67C14CE7"/>
    <w:rsid w:val="67C65357"/>
    <w:rsid w:val="681B44C3"/>
    <w:rsid w:val="681D41CE"/>
    <w:rsid w:val="683B113C"/>
    <w:rsid w:val="68B63119"/>
    <w:rsid w:val="68B94322"/>
    <w:rsid w:val="68BD231D"/>
    <w:rsid w:val="68F068BA"/>
    <w:rsid w:val="68FE171A"/>
    <w:rsid w:val="69A004B9"/>
    <w:rsid w:val="69CD523F"/>
    <w:rsid w:val="6A15035F"/>
    <w:rsid w:val="6A360A5A"/>
    <w:rsid w:val="6A417531"/>
    <w:rsid w:val="6A5E0F12"/>
    <w:rsid w:val="6A677B66"/>
    <w:rsid w:val="6A6E034F"/>
    <w:rsid w:val="6A8B7E43"/>
    <w:rsid w:val="6AAA7D41"/>
    <w:rsid w:val="6ADA3622"/>
    <w:rsid w:val="6AED51A4"/>
    <w:rsid w:val="6AFE1889"/>
    <w:rsid w:val="6B1737A6"/>
    <w:rsid w:val="6B1C7682"/>
    <w:rsid w:val="6B2B534D"/>
    <w:rsid w:val="6B2D67C2"/>
    <w:rsid w:val="6B3473A0"/>
    <w:rsid w:val="6BA16056"/>
    <w:rsid w:val="6BA32DD9"/>
    <w:rsid w:val="6BB17B9B"/>
    <w:rsid w:val="6BCF4868"/>
    <w:rsid w:val="6BF4199B"/>
    <w:rsid w:val="6C05347F"/>
    <w:rsid w:val="6C237BF9"/>
    <w:rsid w:val="6C2B193D"/>
    <w:rsid w:val="6C411829"/>
    <w:rsid w:val="6C520159"/>
    <w:rsid w:val="6CC80E6D"/>
    <w:rsid w:val="6CEF2A38"/>
    <w:rsid w:val="6D0B1A14"/>
    <w:rsid w:val="6D3C6723"/>
    <w:rsid w:val="6D682A79"/>
    <w:rsid w:val="6D962A9C"/>
    <w:rsid w:val="6DCC631E"/>
    <w:rsid w:val="6E182D62"/>
    <w:rsid w:val="6E3A5A2C"/>
    <w:rsid w:val="6E70655A"/>
    <w:rsid w:val="6F031489"/>
    <w:rsid w:val="6F5646A4"/>
    <w:rsid w:val="6F843806"/>
    <w:rsid w:val="6FAA3724"/>
    <w:rsid w:val="6FB251CE"/>
    <w:rsid w:val="6FF003F1"/>
    <w:rsid w:val="70050C3E"/>
    <w:rsid w:val="70101C9B"/>
    <w:rsid w:val="70A27C48"/>
    <w:rsid w:val="71173E51"/>
    <w:rsid w:val="71241BBE"/>
    <w:rsid w:val="71320EF9"/>
    <w:rsid w:val="713B3746"/>
    <w:rsid w:val="715D1539"/>
    <w:rsid w:val="71623B91"/>
    <w:rsid w:val="717A601D"/>
    <w:rsid w:val="71E12071"/>
    <w:rsid w:val="71F058AA"/>
    <w:rsid w:val="724C62A1"/>
    <w:rsid w:val="72791F63"/>
    <w:rsid w:val="728D2453"/>
    <w:rsid w:val="729D471A"/>
    <w:rsid w:val="72B749B0"/>
    <w:rsid w:val="72C03031"/>
    <w:rsid w:val="72DC21F2"/>
    <w:rsid w:val="72FE33F1"/>
    <w:rsid w:val="73031425"/>
    <w:rsid w:val="73A22DA3"/>
    <w:rsid w:val="73A64C97"/>
    <w:rsid w:val="73FE26F9"/>
    <w:rsid w:val="742E36E3"/>
    <w:rsid w:val="74345358"/>
    <w:rsid w:val="75304829"/>
    <w:rsid w:val="753B3191"/>
    <w:rsid w:val="75CF31C6"/>
    <w:rsid w:val="75DD4990"/>
    <w:rsid w:val="76135E13"/>
    <w:rsid w:val="761C3E2D"/>
    <w:rsid w:val="76A213C9"/>
    <w:rsid w:val="76A23E83"/>
    <w:rsid w:val="76A958BB"/>
    <w:rsid w:val="76CC2CD9"/>
    <w:rsid w:val="76DE2FD2"/>
    <w:rsid w:val="76E57D2F"/>
    <w:rsid w:val="77622916"/>
    <w:rsid w:val="77AA358A"/>
    <w:rsid w:val="780F28D8"/>
    <w:rsid w:val="784A0F86"/>
    <w:rsid w:val="787C282E"/>
    <w:rsid w:val="788A76CE"/>
    <w:rsid w:val="78A3431F"/>
    <w:rsid w:val="78D04EFA"/>
    <w:rsid w:val="78E645BB"/>
    <w:rsid w:val="795B53CD"/>
    <w:rsid w:val="795F4E20"/>
    <w:rsid w:val="79AA67A6"/>
    <w:rsid w:val="79FA587A"/>
    <w:rsid w:val="7A377903"/>
    <w:rsid w:val="7A540381"/>
    <w:rsid w:val="7A9D6B48"/>
    <w:rsid w:val="7B0E0E16"/>
    <w:rsid w:val="7B2450F6"/>
    <w:rsid w:val="7B49534E"/>
    <w:rsid w:val="7BAF04C1"/>
    <w:rsid w:val="7BF14C78"/>
    <w:rsid w:val="7C146648"/>
    <w:rsid w:val="7C267864"/>
    <w:rsid w:val="7D561523"/>
    <w:rsid w:val="7D571964"/>
    <w:rsid w:val="7D8A4C44"/>
    <w:rsid w:val="7DC347C3"/>
    <w:rsid w:val="7DF05977"/>
    <w:rsid w:val="7DF71D75"/>
    <w:rsid w:val="7EB0023F"/>
    <w:rsid w:val="7EEA78FD"/>
    <w:rsid w:val="7F055124"/>
    <w:rsid w:val="7F5E2319"/>
    <w:rsid w:val="7F933A35"/>
    <w:rsid w:val="7F9923FA"/>
    <w:rsid w:val="7FAB1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 w:locked="1"/>
    <w:lsdException w:qFormat="1" w:unhideWhenUsed="0" w:uiPriority="99" w:semiHidden="0" w:name="heading 3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nhideWhenUsed="0" w:uiPriority="99" w:semiHidden="0" w:name="caption"/>
    <w:lsdException w:qFormat="1" w:unhideWhenUsed="0" w:uiPriority="99" w:semiHidden="0" w:name="table of figures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name="annotation reference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qFormat="1" w:unhideWhenUsed="0" w:uiPriority="99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 w:locked="1"/>
    <w:lsdException w:qFormat="1" w:unhideWhenUsed="0" w:uiPriority="99" w:semiHidden="0" w:name="Emphasis"/>
    <w:lsdException w:qFormat="1" w:unhideWhenUsed="0" w:uiPriority="99" w:semiHidden="0" w:name="Document Map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qFormat="1"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 w:locked="1"/>
    <w:lsdException w:qFormat="1" w:unhideWhenUsed="0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26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99"/>
  </w:style>
  <w:style w:type="table" w:default="1" w:styleId="2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subject"/>
    <w:basedOn w:val="5"/>
    <w:next w:val="5"/>
    <w:link w:val="89"/>
    <w:semiHidden/>
    <w:qFormat/>
    <w:uiPriority w:val="99"/>
    <w:rPr>
      <w:b/>
      <w:bCs/>
    </w:rPr>
  </w:style>
  <w:style w:type="paragraph" w:styleId="5">
    <w:name w:val="annotation text"/>
    <w:basedOn w:val="1"/>
    <w:link w:val="88"/>
    <w:semiHidden/>
    <w:qFormat/>
    <w:uiPriority w:val="99"/>
    <w:pPr>
      <w:jc w:val="left"/>
    </w:pPr>
  </w:style>
  <w:style w:type="paragraph" w:styleId="6">
    <w:name w:val="caption"/>
    <w:basedOn w:val="1"/>
    <w:next w:val="1"/>
    <w:qFormat/>
    <w:uiPriority w:val="99"/>
    <w:rPr>
      <w:rFonts w:ascii="Cambria" w:hAnsi="Cambria" w:eastAsia="黑体"/>
      <w:sz w:val="20"/>
      <w:szCs w:val="20"/>
    </w:rPr>
  </w:style>
  <w:style w:type="paragraph" w:styleId="7">
    <w:name w:val="Document Map"/>
    <w:basedOn w:val="1"/>
    <w:link w:val="27"/>
    <w:qFormat/>
    <w:uiPriority w:val="99"/>
    <w:rPr>
      <w:rFonts w:ascii="宋体"/>
      <w:sz w:val="18"/>
      <w:szCs w:val="18"/>
    </w:rPr>
  </w:style>
  <w:style w:type="paragraph" w:styleId="8">
    <w:name w:val="Body Text"/>
    <w:basedOn w:val="1"/>
    <w:link w:val="28"/>
    <w:qFormat/>
    <w:uiPriority w:val="99"/>
    <w:pPr>
      <w:autoSpaceDE w:val="0"/>
      <w:autoSpaceDN w:val="0"/>
      <w:jc w:val="left"/>
    </w:pPr>
    <w:rPr>
      <w:rFonts w:ascii="宋体" w:hAnsi="宋体" w:cs="宋体"/>
      <w:kern w:val="0"/>
      <w:szCs w:val="21"/>
      <w:lang w:val="zh-CN"/>
    </w:rPr>
  </w:style>
  <w:style w:type="paragraph" w:styleId="9">
    <w:name w:val="toc 3"/>
    <w:basedOn w:val="1"/>
    <w:next w:val="1"/>
    <w:qFormat/>
    <w:uiPriority w:val="99"/>
    <w:pPr>
      <w:ind w:left="840"/>
    </w:pPr>
  </w:style>
  <w:style w:type="paragraph" w:styleId="10">
    <w:name w:val="Date"/>
    <w:basedOn w:val="1"/>
    <w:next w:val="1"/>
    <w:link w:val="29"/>
    <w:semiHidden/>
    <w:qFormat/>
    <w:uiPriority w:val="99"/>
    <w:pPr>
      <w:ind w:left="100" w:leftChars="2500"/>
    </w:pPr>
  </w:style>
  <w:style w:type="paragraph" w:styleId="11">
    <w:name w:val="Balloon Text"/>
    <w:basedOn w:val="1"/>
    <w:link w:val="30"/>
    <w:qFormat/>
    <w:uiPriority w:val="99"/>
    <w:rPr>
      <w:sz w:val="18"/>
      <w:szCs w:val="18"/>
    </w:rPr>
  </w:style>
  <w:style w:type="paragraph" w:styleId="12">
    <w:name w:val="footer"/>
    <w:basedOn w:val="1"/>
    <w:link w:val="3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99"/>
    <w:pPr>
      <w:tabs>
        <w:tab w:val="right" w:leader="dot" w:pos="9344"/>
      </w:tabs>
    </w:pPr>
  </w:style>
  <w:style w:type="paragraph" w:styleId="15">
    <w:name w:val="table of figures"/>
    <w:basedOn w:val="1"/>
    <w:next w:val="1"/>
    <w:qFormat/>
    <w:uiPriority w:val="99"/>
  </w:style>
  <w:style w:type="paragraph" w:styleId="16">
    <w:name w:val="toc 2"/>
    <w:basedOn w:val="1"/>
    <w:next w:val="1"/>
    <w:qFormat/>
    <w:uiPriority w:val="99"/>
    <w:pPr>
      <w:ind w:left="420"/>
    </w:pPr>
  </w:style>
  <w:style w:type="paragraph" w:styleId="17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19">
    <w:name w:val="FollowedHyperlink"/>
    <w:basedOn w:val="18"/>
    <w:qFormat/>
    <w:uiPriority w:val="99"/>
    <w:rPr>
      <w:rFonts w:cs="Times New Roman"/>
      <w:color w:val="2C4C78"/>
      <w:u w:val="none"/>
    </w:rPr>
  </w:style>
  <w:style w:type="character" w:styleId="20">
    <w:name w:val="Emphasis"/>
    <w:basedOn w:val="18"/>
    <w:qFormat/>
    <w:uiPriority w:val="99"/>
    <w:rPr>
      <w:rFonts w:cs="Times New Roman"/>
    </w:rPr>
  </w:style>
  <w:style w:type="character" w:styleId="21">
    <w:name w:val="Hyperlink"/>
    <w:basedOn w:val="18"/>
    <w:qFormat/>
    <w:uiPriority w:val="99"/>
    <w:rPr>
      <w:rFonts w:cs="Times New Roman"/>
      <w:color w:val="2C4C78"/>
      <w:u w:val="none"/>
    </w:rPr>
  </w:style>
  <w:style w:type="character" w:styleId="22">
    <w:name w:val="annotation reference"/>
    <w:basedOn w:val="18"/>
    <w:semiHidden/>
    <w:qFormat/>
    <w:uiPriority w:val="99"/>
    <w:rPr>
      <w:rFonts w:cs="Times New Roman"/>
      <w:sz w:val="21"/>
      <w:szCs w:val="21"/>
    </w:rPr>
  </w:style>
  <w:style w:type="table" w:styleId="24">
    <w:name w:val="Table Grid"/>
    <w:basedOn w:val="23"/>
    <w:qFormat/>
    <w:uiPriority w:val="99"/>
    <w:rPr>
      <w:rFonts w:ascii="宋体"/>
      <w:kern w:val="0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5">
    <w:name w:val="Heading 1 Char"/>
    <w:basedOn w:val="18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26">
    <w:name w:val="Heading 3 Char"/>
    <w:basedOn w:val="18"/>
    <w:link w:val="3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27">
    <w:name w:val="Document Map Char"/>
    <w:basedOn w:val="18"/>
    <w:link w:val="7"/>
    <w:semiHidden/>
    <w:qFormat/>
    <w:locked/>
    <w:uiPriority w:val="99"/>
    <w:rPr>
      <w:rFonts w:ascii="宋体" w:cs="Times New Roman"/>
      <w:kern w:val="2"/>
      <w:sz w:val="18"/>
      <w:szCs w:val="18"/>
    </w:rPr>
  </w:style>
  <w:style w:type="character" w:customStyle="1" w:styleId="28">
    <w:name w:val="Body Text Char"/>
    <w:basedOn w:val="18"/>
    <w:link w:val="8"/>
    <w:qFormat/>
    <w:locked/>
    <w:uiPriority w:val="99"/>
    <w:rPr>
      <w:rFonts w:ascii="宋体" w:eastAsia="宋体" w:cs="宋体"/>
      <w:sz w:val="21"/>
      <w:szCs w:val="21"/>
      <w:lang w:val="zh-CN"/>
    </w:rPr>
  </w:style>
  <w:style w:type="character" w:customStyle="1" w:styleId="29">
    <w:name w:val="Date Char"/>
    <w:basedOn w:val="18"/>
    <w:link w:val="10"/>
    <w:semiHidden/>
    <w:qFormat/>
    <w:locked/>
    <w:uiPriority w:val="99"/>
    <w:rPr>
      <w:rFonts w:cs="Times New Roman"/>
      <w:kern w:val="2"/>
      <w:sz w:val="24"/>
      <w:szCs w:val="24"/>
    </w:rPr>
  </w:style>
  <w:style w:type="character" w:customStyle="1" w:styleId="30">
    <w:name w:val="Balloon Text Char"/>
    <w:basedOn w:val="18"/>
    <w:link w:val="11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Footer Char"/>
    <w:basedOn w:val="18"/>
    <w:link w:val="12"/>
    <w:qFormat/>
    <w:locked/>
    <w:uiPriority w:val="99"/>
    <w:rPr>
      <w:rFonts w:cs="Times New Roman"/>
      <w:sz w:val="18"/>
      <w:szCs w:val="18"/>
    </w:rPr>
  </w:style>
  <w:style w:type="character" w:customStyle="1" w:styleId="32">
    <w:name w:val="Header Char"/>
    <w:basedOn w:val="18"/>
    <w:link w:val="13"/>
    <w:qFormat/>
    <w:locked/>
    <w:uiPriority w:val="99"/>
    <w:rPr>
      <w:rFonts w:cs="Times New Roman"/>
      <w:sz w:val="18"/>
      <w:szCs w:val="18"/>
    </w:rPr>
  </w:style>
  <w:style w:type="paragraph" w:customStyle="1" w:styleId="33">
    <w:name w:val="段"/>
    <w:link w:val="34"/>
    <w:qFormat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34">
    <w:name w:val="段 Char"/>
    <w:link w:val="33"/>
    <w:qFormat/>
    <w:locked/>
    <w:uiPriority w:val="99"/>
    <w:rPr>
      <w:rFonts w:ascii="宋体"/>
      <w:kern w:val="2"/>
      <w:sz w:val="22"/>
      <w:lang w:val="en-US" w:eastAsia="zh-CN"/>
    </w:rPr>
  </w:style>
  <w:style w:type="paragraph" w:customStyle="1" w:styleId="35">
    <w:name w:val="一级条标题"/>
    <w:next w:val="33"/>
    <w:link w:val="46"/>
    <w:qFormat/>
    <w:uiPriority w:val="99"/>
    <w:pPr>
      <w:spacing w:beforeLines="50" w:afterLines="50"/>
      <w:outlineLvl w:val="2"/>
    </w:pPr>
    <w:rPr>
      <w:rFonts w:ascii="黑体" w:hAnsi="Times New Roman" w:eastAsia="黑体" w:cs="Times New Roman"/>
      <w:kern w:val="0"/>
      <w:sz w:val="21"/>
      <w:szCs w:val="22"/>
      <w:lang w:val="en-US" w:eastAsia="zh-CN" w:bidi="ar-SA"/>
    </w:rPr>
  </w:style>
  <w:style w:type="paragraph" w:customStyle="1" w:styleId="36">
    <w:name w:val="章标题"/>
    <w:next w:val="33"/>
    <w:link w:val="83"/>
    <w:qFormat/>
    <w:uiPriority w:val="99"/>
    <w:pPr>
      <w:spacing w:beforeLines="100" w:afterLines="100"/>
      <w:jc w:val="both"/>
      <w:outlineLvl w:val="1"/>
    </w:pPr>
    <w:rPr>
      <w:rFonts w:ascii="黑体" w:hAnsi="Times New Roman" w:eastAsia="黑体" w:cs="Times New Roman"/>
      <w:kern w:val="0"/>
      <w:sz w:val="21"/>
      <w:szCs w:val="22"/>
      <w:lang w:val="en-US" w:eastAsia="zh-CN" w:bidi="ar-SA"/>
    </w:rPr>
  </w:style>
  <w:style w:type="paragraph" w:customStyle="1" w:styleId="37">
    <w:name w:val="二级条标题"/>
    <w:basedOn w:val="35"/>
    <w:next w:val="33"/>
    <w:link w:val="47"/>
    <w:qFormat/>
    <w:uiPriority w:val="99"/>
    <w:pPr>
      <w:spacing w:before="50" w:after="50"/>
      <w:outlineLvl w:val="3"/>
    </w:pPr>
  </w:style>
  <w:style w:type="paragraph" w:customStyle="1" w:styleId="38">
    <w:name w:val="目次、标准名称标题"/>
    <w:basedOn w:val="1"/>
    <w:next w:val="33"/>
    <w:qFormat/>
    <w:uiPriority w:val="99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39">
    <w:name w:val="三级条标题"/>
    <w:basedOn w:val="37"/>
    <w:next w:val="33"/>
    <w:qFormat/>
    <w:uiPriority w:val="99"/>
    <w:pPr>
      <w:tabs>
        <w:tab w:val="left" w:pos="360"/>
      </w:tabs>
      <w:outlineLvl w:val="4"/>
    </w:pPr>
  </w:style>
  <w:style w:type="paragraph" w:customStyle="1" w:styleId="40">
    <w:name w:val="四级条标题"/>
    <w:basedOn w:val="39"/>
    <w:next w:val="33"/>
    <w:qFormat/>
    <w:uiPriority w:val="99"/>
    <w:pPr>
      <w:outlineLvl w:val="5"/>
    </w:pPr>
  </w:style>
  <w:style w:type="paragraph" w:customStyle="1" w:styleId="41">
    <w:name w:val="五级条标题"/>
    <w:basedOn w:val="40"/>
    <w:next w:val="33"/>
    <w:qFormat/>
    <w:uiPriority w:val="99"/>
    <w:pPr>
      <w:outlineLvl w:val="6"/>
    </w:pPr>
  </w:style>
  <w:style w:type="paragraph" w:customStyle="1" w:styleId="42">
    <w:name w:val="前言、引言标题"/>
    <w:next w:val="33"/>
    <w:qFormat/>
    <w:uiPriority w:val="99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kern w:val="0"/>
      <w:sz w:val="32"/>
      <w:szCs w:val="20"/>
      <w:lang w:val="en-US" w:eastAsia="zh-CN" w:bidi="ar-SA"/>
    </w:rPr>
  </w:style>
  <w:style w:type="paragraph" w:customStyle="1" w:styleId="43">
    <w:name w:val="正文表标题"/>
    <w:next w:val="33"/>
    <w:qFormat/>
    <w:uiPriority w:val="99"/>
    <w:pPr>
      <w:numPr>
        <w:ilvl w:val="0"/>
        <w:numId w:val="1"/>
      </w:numPr>
      <w:spacing w:beforeLines="50" w:afterLines="50"/>
      <w:jc w:val="center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44">
    <w:name w:val="正文图标题"/>
    <w:next w:val="33"/>
    <w:qFormat/>
    <w:uiPriority w:val="99"/>
    <w:pPr>
      <w:numPr>
        <w:ilvl w:val="0"/>
        <w:numId w:val="2"/>
      </w:numPr>
      <w:tabs>
        <w:tab w:val="left" w:pos="360"/>
      </w:tabs>
      <w:spacing w:beforeLines="50" w:afterLines="50"/>
      <w:jc w:val="center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45">
    <w:name w:val="终结线"/>
    <w:basedOn w:val="1"/>
    <w:qFormat/>
    <w:uiPriority w:val="99"/>
    <w:pPr>
      <w:framePr w:hSpace="181" w:vSpace="181" w:wrap="around" w:vAnchor="text" w:hAnchor="margin" w:xAlign="center" w:y="285"/>
    </w:pPr>
  </w:style>
  <w:style w:type="character" w:customStyle="1" w:styleId="46">
    <w:name w:val="一级条标题 Char"/>
    <w:link w:val="35"/>
    <w:qFormat/>
    <w:locked/>
    <w:uiPriority w:val="99"/>
    <w:rPr>
      <w:rFonts w:ascii="黑体" w:eastAsia="黑体"/>
      <w:sz w:val="22"/>
    </w:rPr>
  </w:style>
  <w:style w:type="character" w:customStyle="1" w:styleId="47">
    <w:name w:val="二级条标题 Char"/>
    <w:basedOn w:val="46"/>
    <w:link w:val="37"/>
    <w:qFormat/>
    <w:locked/>
    <w:uiPriority w:val="99"/>
    <w:rPr>
      <w:rFonts w:cs="Times New Roman"/>
      <w:sz w:val="21"/>
      <w:szCs w:val="21"/>
      <w:lang w:bidi="ar-SA"/>
    </w:rPr>
  </w:style>
  <w:style w:type="paragraph" w:customStyle="1" w:styleId="48">
    <w:name w:val="Default"/>
    <w:qFormat/>
    <w:uiPriority w:val="99"/>
    <w:pPr>
      <w:widowControl w:val="0"/>
      <w:autoSpaceDE w:val="0"/>
      <w:autoSpaceDN w:val="0"/>
    </w:pPr>
    <w:rPr>
      <w:rFonts w:ascii="宋体" w:hAnsi="宋体" w:eastAsia="宋体" w:cs="Times New Roman"/>
      <w:color w:val="000000"/>
      <w:kern w:val="0"/>
      <w:sz w:val="24"/>
      <w:szCs w:val="20"/>
      <w:lang w:val="en-US" w:eastAsia="zh-CN" w:bidi="ar-SA"/>
    </w:rPr>
  </w:style>
  <w:style w:type="paragraph" w:customStyle="1" w:styleId="49">
    <w:name w:val="无间隔1"/>
    <w:link w:val="50"/>
    <w:qFormat/>
    <w:uiPriority w:val="99"/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character" w:customStyle="1" w:styleId="50">
    <w:name w:val="无间隔 Char"/>
    <w:basedOn w:val="18"/>
    <w:link w:val="49"/>
    <w:qFormat/>
    <w:locked/>
    <w:uiPriority w:val="99"/>
    <w:rPr>
      <w:rFonts w:ascii="Calibri" w:hAnsi="Calibri" w:cs="Times New Roman"/>
      <w:sz w:val="22"/>
      <w:szCs w:val="22"/>
      <w:lang w:val="en-US" w:eastAsia="zh-CN" w:bidi="ar-SA"/>
    </w:rPr>
  </w:style>
  <w:style w:type="paragraph" w:customStyle="1" w:styleId="51">
    <w:name w:val="封面标准号2"/>
    <w:qFormat/>
    <w:uiPriority w:val="99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kern w:val="0"/>
      <w:sz w:val="28"/>
      <w:szCs w:val="28"/>
      <w:lang w:val="en-US" w:eastAsia="zh-CN" w:bidi="ar-SA"/>
    </w:rPr>
  </w:style>
  <w:style w:type="paragraph" w:customStyle="1" w:styleId="52">
    <w:name w:val="注："/>
    <w:next w:val="33"/>
    <w:qFormat/>
    <w:uiPriority w:val="99"/>
    <w:pPr>
      <w:widowControl w:val="0"/>
      <w:numPr>
        <w:ilvl w:val="0"/>
        <w:numId w:val="3"/>
      </w:numPr>
      <w:autoSpaceDE w:val="0"/>
      <w:autoSpaceDN w:val="0"/>
      <w:ind w:left="726" w:hanging="363"/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character" w:customStyle="1" w:styleId="53">
    <w:name w:val="发布"/>
    <w:qFormat/>
    <w:uiPriority w:val="99"/>
    <w:rPr>
      <w:rFonts w:ascii="黑体" w:eastAsia="黑体"/>
      <w:spacing w:val="85"/>
      <w:w w:val="100"/>
      <w:position w:val="3"/>
      <w:sz w:val="28"/>
    </w:rPr>
  </w:style>
  <w:style w:type="paragraph" w:customStyle="1" w:styleId="54">
    <w:name w:val="封面标准代替信息"/>
    <w:qFormat/>
    <w:uiPriority w:val="99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kern w:val="0"/>
      <w:sz w:val="21"/>
      <w:szCs w:val="21"/>
      <w:lang w:val="en-US" w:eastAsia="zh-CN" w:bidi="ar-SA"/>
    </w:rPr>
  </w:style>
  <w:style w:type="paragraph" w:customStyle="1" w:styleId="55">
    <w:name w:val="封面标准名称"/>
    <w:qFormat/>
    <w:uiPriority w:val="99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  <w:style w:type="paragraph" w:customStyle="1" w:styleId="56">
    <w:name w:val="封面一致性程度标识"/>
    <w:basedOn w:val="1"/>
    <w:qFormat/>
    <w:uiPriority w:val="99"/>
    <w:pPr>
      <w:framePr w:w="9639" w:h="6917" w:hRule="exact" w:wrap="around" w:vAnchor="page" w:hAnchor="page" w:xAlign="center" w:y="6408" w:anchorLock="1"/>
      <w:spacing w:before="440" w:line="400" w:lineRule="exact"/>
      <w:jc w:val="center"/>
      <w:textAlignment w:val="center"/>
    </w:pPr>
    <w:rPr>
      <w:rFonts w:ascii="宋体"/>
      <w:kern w:val="0"/>
      <w:sz w:val="28"/>
      <w:szCs w:val="28"/>
    </w:rPr>
  </w:style>
  <w:style w:type="paragraph" w:customStyle="1" w:styleId="57">
    <w:name w:val="封面标准文稿类别"/>
    <w:basedOn w:val="56"/>
    <w:qFormat/>
    <w:uiPriority w:val="99"/>
    <w:pPr>
      <w:spacing w:after="160" w:line="240" w:lineRule="auto"/>
    </w:pPr>
    <w:rPr>
      <w:sz w:val="24"/>
    </w:rPr>
  </w:style>
  <w:style w:type="paragraph" w:customStyle="1" w:styleId="58">
    <w:name w:val="封面标准文稿编辑信息"/>
    <w:basedOn w:val="57"/>
    <w:qFormat/>
    <w:uiPriority w:val="99"/>
    <w:pPr>
      <w:spacing w:before="180" w:line="180" w:lineRule="exact"/>
    </w:pPr>
    <w:rPr>
      <w:sz w:val="21"/>
    </w:rPr>
  </w:style>
  <w:style w:type="paragraph" w:customStyle="1" w:styleId="59">
    <w:name w:val="其他标准标志"/>
    <w:basedOn w:val="1"/>
    <w:qFormat/>
    <w:uiPriority w:val="99"/>
    <w:pPr>
      <w:framePr w:w="6101" w:h="1389" w:hRule="exact" w:hSpace="181" w:vSpace="181" w:wrap="around" w:vAnchor="page" w:hAnchor="page" w:x="4673" w:y="942" w:anchorLock="1"/>
      <w:widowControl/>
      <w:shd w:val="solid" w:color="FFFFFF" w:fill="FFFFFF"/>
      <w:spacing w:line="240" w:lineRule="atLeast"/>
      <w:jc w:val="right"/>
    </w:pPr>
    <w:rPr>
      <w:b/>
      <w:w w:val="130"/>
      <w:kern w:val="0"/>
      <w:sz w:val="96"/>
      <w:szCs w:val="96"/>
    </w:rPr>
  </w:style>
  <w:style w:type="paragraph" w:customStyle="1" w:styleId="60">
    <w:name w:val="其他标准称谓"/>
    <w:next w:val="1"/>
    <w:qFormat/>
    <w:uiPriority w:val="99"/>
    <w:pPr>
      <w:framePr w:hSpace="181" w:vSpace="181" w:wrap="around" w:vAnchor="page" w:hAnchor="page" w:x="1419" w:y="2286" w:anchorLock="1"/>
      <w:spacing w:line="240" w:lineRule="atLeast"/>
      <w:jc w:val="distribute"/>
    </w:pPr>
    <w:rPr>
      <w:rFonts w:ascii="黑体" w:hAnsi="宋体" w:eastAsia="黑体" w:cs="Times New Roman"/>
      <w:spacing w:val="-40"/>
      <w:kern w:val="0"/>
      <w:sz w:val="48"/>
      <w:szCs w:val="52"/>
      <w:lang w:val="en-US" w:eastAsia="zh-CN" w:bidi="ar-SA"/>
    </w:rPr>
  </w:style>
  <w:style w:type="paragraph" w:customStyle="1" w:styleId="61">
    <w:name w:val="其他发布部门"/>
    <w:basedOn w:val="1"/>
    <w:qFormat/>
    <w:uiPriority w:val="99"/>
    <w:pPr>
      <w:framePr w:w="7938" w:h="1134" w:hRule="exact" w:hSpace="125" w:vSpace="181" w:wrap="around" w:vAnchor="page" w:hAnchor="page" w:x="2150" w:y="15310" w:anchorLock="1"/>
      <w:widowControl/>
      <w:spacing w:line="240" w:lineRule="atLeast"/>
      <w:jc w:val="center"/>
    </w:pPr>
    <w:rPr>
      <w:rFonts w:ascii="黑体" w:eastAsia="黑体"/>
      <w:spacing w:val="20"/>
      <w:w w:val="135"/>
      <w:kern w:val="0"/>
      <w:sz w:val="28"/>
      <w:szCs w:val="20"/>
    </w:rPr>
  </w:style>
  <w:style w:type="paragraph" w:customStyle="1" w:styleId="62">
    <w:name w:val="文献分类号"/>
    <w:qFormat/>
    <w:uiPriority w:val="99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kern w:val="0"/>
      <w:sz w:val="21"/>
      <w:szCs w:val="21"/>
      <w:lang w:val="en-US" w:eastAsia="zh-CN" w:bidi="ar-SA"/>
    </w:rPr>
  </w:style>
  <w:style w:type="paragraph" w:customStyle="1" w:styleId="63">
    <w:name w:val="其他发布日期"/>
    <w:basedOn w:val="1"/>
    <w:qFormat/>
    <w:uiPriority w:val="99"/>
    <w:pPr>
      <w:framePr w:w="3997" w:h="471" w:hRule="exact" w:vSpace="181" w:wrap="around" w:vAnchor="page" w:hAnchor="page" w:x="1419" w:y="14097" w:anchorLock="1"/>
      <w:widowControl/>
      <w:jc w:val="left"/>
    </w:pPr>
    <w:rPr>
      <w:rFonts w:eastAsia="黑体"/>
      <w:kern w:val="0"/>
      <w:sz w:val="28"/>
      <w:szCs w:val="20"/>
    </w:rPr>
  </w:style>
  <w:style w:type="paragraph" w:customStyle="1" w:styleId="64">
    <w:name w:val="其他实施日期"/>
    <w:basedOn w:val="1"/>
    <w:qFormat/>
    <w:uiPriority w:val="99"/>
    <w:pPr>
      <w:framePr w:w="3997" w:h="471" w:hRule="exact" w:vSpace="181" w:wrap="around" w:vAnchor="page" w:hAnchor="page" w:x="7089" w:y="14097" w:anchorLock="1"/>
      <w:widowControl/>
      <w:jc w:val="right"/>
    </w:pPr>
    <w:rPr>
      <w:rFonts w:eastAsia="黑体"/>
      <w:kern w:val="0"/>
      <w:sz w:val="28"/>
      <w:szCs w:val="20"/>
    </w:rPr>
  </w:style>
  <w:style w:type="character" w:customStyle="1" w:styleId="65">
    <w:name w:val="fontstyle01"/>
    <w:basedOn w:val="18"/>
    <w:qFormat/>
    <w:uiPriority w:val="99"/>
    <w:rPr>
      <w:rFonts w:ascii="宋体" w:hAnsi="宋体" w:eastAsia="宋体" w:cs="Times New Roman"/>
      <w:color w:val="000000"/>
      <w:sz w:val="22"/>
      <w:szCs w:val="22"/>
    </w:rPr>
  </w:style>
  <w:style w:type="paragraph" w:customStyle="1" w:styleId="66">
    <w:name w:val="列项——（一级）"/>
    <w:qFormat/>
    <w:uiPriority w:val="99"/>
    <w:pPr>
      <w:widowControl w:val="0"/>
      <w:tabs>
        <w:tab w:val="left" w:pos="854"/>
      </w:tabs>
      <w:ind w:left="200" w:leftChars="200" w:hanging="200" w:hangingChars="200"/>
      <w:jc w:val="both"/>
    </w:pPr>
    <w:rPr>
      <w:rFonts w:ascii="宋体" w:hAnsi="Times New Roman" w:eastAsia="宋体" w:cs="Times New Roman"/>
      <w:kern w:val="0"/>
      <w:sz w:val="21"/>
      <w:szCs w:val="22"/>
      <w:lang w:val="en-US" w:eastAsia="zh-CN" w:bidi="ar-SA"/>
    </w:rPr>
  </w:style>
  <w:style w:type="paragraph" w:customStyle="1" w:styleId="67">
    <w:name w:val="TOC 标题1"/>
    <w:basedOn w:val="2"/>
    <w:next w:val="1"/>
    <w:qFormat/>
    <w:uiPriority w:val="9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68">
    <w:name w:val="无间隔2"/>
    <w:qFormat/>
    <w:uiPriority w:val="99"/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character" w:customStyle="1" w:styleId="69">
    <w:name w:val="apple-converted-space"/>
    <w:basedOn w:val="18"/>
    <w:qFormat/>
    <w:uiPriority w:val="99"/>
    <w:rPr>
      <w:rFonts w:cs="Times New Roman"/>
    </w:rPr>
  </w:style>
  <w:style w:type="character" w:customStyle="1" w:styleId="70">
    <w:name w:val="bzmc"/>
    <w:basedOn w:val="18"/>
    <w:qFormat/>
    <w:uiPriority w:val="99"/>
    <w:rPr>
      <w:rFonts w:cs="Times New Roman"/>
    </w:rPr>
  </w:style>
  <w:style w:type="character" w:customStyle="1" w:styleId="71">
    <w:name w:val="bzmc1"/>
    <w:basedOn w:val="18"/>
    <w:qFormat/>
    <w:uiPriority w:val="99"/>
    <w:rPr>
      <w:rFonts w:cs="Times New Roman"/>
    </w:rPr>
  </w:style>
  <w:style w:type="character" w:customStyle="1" w:styleId="72">
    <w:name w:val="bzmc2"/>
    <w:basedOn w:val="18"/>
    <w:qFormat/>
    <w:uiPriority w:val="99"/>
    <w:rPr>
      <w:rFonts w:cs="Times New Roman"/>
    </w:rPr>
  </w:style>
  <w:style w:type="character" w:customStyle="1" w:styleId="73">
    <w:name w:val="thisit"/>
    <w:basedOn w:val="18"/>
    <w:qFormat/>
    <w:uiPriority w:val="99"/>
    <w:rPr>
      <w:rFonts w:cs="Times New Roman"/>
    </w:rPr>
  </w:style>
  <w:style w:type="character" w:customStyle="1" w:styleId="74">
    <w:name w:val="sysj"/>
    <w:basedOn w:val="18"/>
    <w:qFormat/>
    <w:uiPriority w:val="99"/>
    <w:rPr>
      <w:rFonts w:cs="Times New Roman"/>
    </w:rPr>
  </w:style>
  <w:style w:type="character" w:customStyle="1" w:styleId="75">
    <w:name w:val="f_r6"/>
    <w:basedOn w:val="18"/>
    <w:qFormat/>
    <w:uiPriority w:val="99"/>
    <w:rPr>
      <w:rFonts w:cs="Times New Roman"/>
    </w:rPr>
  </w:style>
  <w:style w:type="character" w:customStyle="1" w:styleId="76">
    <w:name w:val="bzrq2"/>
    <w:basedOn w:val="18"/>
    <w:qFormat/>
    <w:uiPriority w:val="99"/>
    <w:rPr>
      <w:rFonts w:cs="Times New Roman"/>
    </w:rPr>
  </w:style>
  <w:style w:type="character" w:customStyle="1" w:styleId="77">
    <w:name w:val="bzrq"/>
    <w:basedOn w:val="18"/>
    <w:qFormat/>
    <w:uiPriority w:val="99"/>
    <w:rPr>
      <w:rFonts w:cs="Times New Roman"/>
    </w:rPr>
  </w:style>
  <w:style w:type="character" w:customStyle="1" w:styleId="78">
    <w:name w:val="f_r5"/>
    <w:basedOn w:val="18"/>
    <w:qFormat/>
    <w:uiPriority w:val="99"/>
    <w:rPr>
      <w:rFonts w:cs="Times New Roman"/>
    </w:rPr>
  </w:style>
  <w:style w:type="character" w:customStyle="1" w:styleId="79">
    <w:name w:val="f_r"/>
    <w:basedOn w:val="18"/>
    <w:qFormat/>
    <w:uiPriority w:val="99"/>
    <w:rPr>
      <w:rFonts w:cs="Times New Roman"/>
    </w:rPr>
  </w:style>
  <w:style w:type="paragraph" w:customStyle="1" w:styleId="80">
    <w:name w:val="WPSOffice手动目录 1"/>
    <w:qFormat/>
    <w:uiPriority w:val="99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customStyle="1" w:styleId="81">
    <w:name w:val="WPSOffice手动目录 2"/>
    <w:qFormat/>
    <w:uiPriority w:val="99"/>
    <w:pPr>
      <w:ind w:left="200" w:leftChars="2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customStyle="1" w:styleId="82">
    <w:name w:val="WPSOffice手动目录 3"/>
    <w:qFormat/>
    <w:uiPriority w:val="99"/>
    <w:pPr>
      <w:ind w:left="400" w:leftChars="4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customStyle="1" w:styleId="83">
    <w:name w:val="章标题 Char"/>
    <w:link w:val="36"/>
    <w:qFormat/>
    <w:locked/>
    <w:uiPriority w:val="99"/>
    <w:rPr>
      <w:rFonts w:ascii="黑体" w:eastAsia="黑体"/>
      <w:sz w:val="22"/>
    </w:rPr>
  </w:style>
  <w:style w:type="table" w:customStyle="1" w:styleId="84">
    <w:name w:val="Table Normal1"/>
    <w:semiHidden/>
    <w:qFormat/>
    <w:uiPriority w:val="99"/>
    <w:pPr>
      <w:widowControl w:val="0"/>
      <w:autoSpaceDE w:val="0"/>
      <w:autoSpaceDN w:val="0"/>
    </w:pPr>
    <w:rPr>
      <w:rFonts w:ascii="Calibri" w:hAnsi="Calibri"/>
      <w:kern w:val="0"/>
      <w:sz w:val="22"/>
      <w:lang w:eastAsia="en-US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styleId="85">
    <w:name w:val="Placeholder Text"/>
    <w:basedOn w:val="18"/>
    <w:qFormat/>
    <w:uiPriority w:val="99"/>
    <w:rPr>
      <w:rFonts w:cs="Times New Roman"/>
      <w:color w:val="808080"/>
    </w:rPr>
  </w:style>
  <w:style w:type="paragraph" w:styleId="86">
    <w:name w:val="List Paragraph"/>
    <w:basedOn w:val="1"/>
    <w:qFormat/>
    <w:uiPriority w:val="99"/>
    <w:pPr>
      <w:autoSpaceDE w:val="0"/>
      <w:autoSpaceDN w:val="0"/>
      <w:ind w:left="642" w:hanging="525"/>
      <w:jc w:val="left"/>
    </w:pPr>
    <w:rPr>
      <w:rFonts w:ascii="黑体" w:hAnsi="黑体" w:eastAsia="黑体" w:cs="黑体"/>
      <w:kern w:val="0"/>
      <w:sz w:val="22"/>
      <w:szCs w:val="22"/>
      <w:lang w:val="hu-HU" w:eastAsia="hu-HU"/>
    </w:rPr>
  </w:style>
  <w:style w:type="paragraph" w:customStyle="1" w:styleId="87">
    <w:name w:val="章"/>
    <w:basedOn w:val="3"/>
    <w:qFormat/>
    <w:uiPriority w:val="99"/>
    <w:pPr>
      <w:spacing w:line="412" w:lineRule="auto"/>
    </w:pPr>
    <w:rPr>
      <w:rFonts w:eastAsia="黑体"/>
      <w:b w:val="0"/>
      <w:sz w:val="21"/>
    </w:rPr>
  </w:style>
  <w:style w:type="character" w:customStyle="1" w:styleId="88">
    <w:name w:val="Comment Text Char"/>
    <w:basedOn w:val="18"/>
    <w:link w:val="5"/>
    <w:semiHidden/>
    <w:qFormat/>
    <w:locked/>
    <w:uiPriority w:val="99"/>
    <w:rPr>
      <w:rFonts w:cs="Times New Roman"/>
      <w:sz w:val="24"/>
      <w:szCs w:val="24"/>
    </w:rPr>
  </w:style>
  <w:style w:type="character" w:customStyle="1" w:styleId="89">
    <w:name w:val="Comment Subject Char"/>
    <w:basedOn w:val="88"/>
    <w:link w:val="4"/>
    <w:semiHidden/>
    <w:qFormat/>
    <w:locked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Sky123.Org</Company>
  <Pages>10</Pages>
  <Words>690</Words>
  <Characters>3934</Characters>
  <Lines>0</Lines>
  <Paragraphs>0</Paragraphs>
  <TotalTime>11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2017-07-24T11:56:00Z</dcterms:created>
  <dc:creator>HP</dc:creator>
  <cp:lastModifiedBy>方珊珊</cp:lastModifiedBy>
  <cp:lastPrinted>2019-03-02T01:11:00Z</cp:lastPrinted>
  <dcterms:modified xsi:type="dcterms:W3CDTF">2019-03-06T06:33:53Z</dcterms:modified>
  <cp:revision>6028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