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hAnsi="黑体" w:eastAsia="黑体"/>
          <w:sz w:val="96"/>
          <w:szCs w:val="96"/>
        </w:rPr>
      </w:pPr>
      <w:bookmarkStart w:id="0" w:name="SectionMark0"/>
      <w:r>
        <w:rPr>
          <w:rFonts w:ascii="黑体" w:hAnsi="黑体" w:eastAsia="黑体"/>
          <w:sz w:val="96"/>
          <w:szCs w:val="96"/>
        </w:rPr>
        <w:t>Q/</w:t>
      </w:r>
      <w:r>
        <w:rPr>
          <w:rFonts w:hint="eastAsia" w:ascii="黑体" w:hAnsi="黑体" w:eastAsia="黑体"/>
          <w:sz w:val="96"/>
          <w:szCs w:val="96"/>
        </w:rPr>
        <w:t>SNSW</w:t>
      </w:r>
    </w:p>
    <w:p>
      <w:pPr>
        <w:pStyle w:val="121"/>
        <w:spacing w:beforeLines="50" w:afterLines="50" w:line="240" w:lineRule="auto"/>
        <w:rPr>
          <w:szCs w:val="52"/>
        </w:rPr>
      </w:pPr>
      <w:r>
        <w:rPr>
          <w:rFonts w:hint="eastAsia" w:hAnsi="黑体"/>
          <w:szCs w:val="52"/>
        </w:rPr>
        <w:t>贵州省食品安全企业标准</w:t>
      </w:r>
    </w:p>
    <w:p>
      <w:pPr>
        <w:pStyle w:val="115"/>
        <w:jc w:val="right"/>
        <w:rPr>
          <w:rFonts w:hint="default" w:ascii="黑体" w:eastAsia="黑体"/>
          <w:sz w:val="28"/>
          <w:szCs w:val="28"/>
          <w:lang w:val="en-US" w:eastAsia="zh-CN"/>
        </w:rPr>
      </w:pPr>
      <w:r>
        <w:rPr>
          <w:rFonts w:hint="eastAsia"/>
        </w:rPr>
        <w:t xml:space="preserve">                                                                      </w:t>
      </w:r>
      <w:r>
        <w:rPr>
          <w:rFonts w:hint="eastAsia" w:ascii="黑体" w:eastAsia="黑体"/>
          <w:sz w:val="28"/>
          <w:szCs w:val="28"/>
        </w:rPr>
        <w:t>Q/SNSW 0001S-20</w:t>
      </w:r>
      <w:r>
        <w:rPr>
          <w:rFonts w:hint="eastAsia" w:ascii="黑体" w:eastAsia="黑体"/>
          <w:sz w:val="28"/>
          <w:szCs w:val="28"/>
          <w:lang w:val="en-US" w:eastAsia="zh-CN"/>
        </w:rPr>
        <w:t>21</w:t>
      </w:r>
    </w:p>
    <w:p>
      <w:pPr>
        <w:pStyle w:val="115"/>
        <w:jc w:val="right"/>
        <w:rPr>
          <w:rFonts w:ascii="黑体" w:eastAsia="黑体"/>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971540" cy="12700"/>
                <wp:effectExtent l="0" t="4445" r="10160" b="8255"/>
                <wp:wrapNone/>
                <wp:docPr id="1" name="直线 10"/>
                <wp:cNvGraphicFramePr/>
                <a:graphic xmlns:a="http://schemas.openxmlformats.org/drawingml/2006/main">
                  <a:graphicData uri="http://schemas.microsoft.com/office/word/2010/wordprocessingShape">
                    <wps:wsp>
                      <wps:cNvCnPr/>
                      <wps:spPr>
                        <a:xfrm>
                          <a:off x="0" y="0"/>
                          <a:ext cx="5971540" cy="1270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直线 10" o:spid="_x0000_s1026" o:spt="20" style="position:absolute;left:0pt;margin-left:0pt;margin-top:0.1pt;height:1pt;width:470.2pt;z-index:251659264;mso-width-relative:page;mso-height-relative:page;" filled="f" stroked="t" coordsize="21600,21600" o:gfxdata="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&#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0+QV0gAAAAMBAAAPAAAAAAAAAAEAIAAAACIAAABk&#10;cnMvZG93bnJldi54bWxQSwECFAAUAAAACACHTuJAxvoLNwwCAAAvBAAADgAAAAAAAAABACAAAAAh&#10;AQAAZHJzL2Uyb0RvYy54bWxQSwUGAAAAAAYABgBZAQAAnwUAAAAA&#10;">
                <v:fill on="f" focussize="0,0"/>
                <v:stroke color="#000000 [3200]" joinstyle="round"/>
                <v:imagedata o:title=""/>
                <o:lock v:ext="edit" aspectratio="f"/>
              </v:line>
            </w:pict>
          </mc:Fallback>
        </mc:AlternateContent>
      </w:r>
    </w:p>
    <w:p>
      <w:pPr>
        <w:pStyle w:val="115"/>
        <w:jc w:val="right"/>
        <w:rPr>
          <w:rFonts w:ascii="黑体" w:eastAsia="黑体"/>
          <w:color w:val="FF0000"/>
          <w:sz w:val="28"/>
          <w:szCs w:val="28"/>
        </w:rPr>
      </w:pPr>
    </w:p>
    <w:p>
      <w:pPr>
        <w:pStyle w:val="115"/>
        <w:jc w:val="right"/>
        <w:rPr>
          <w:sz w:val="28"/>
          <w:szCs w:val="28"/>
        </w:rPr>
      </w:pPr>
    </w:p>
    <w:p>
      <w:pPr>
        <w:pStyle w:val="93"/>
        <w:framePr w:w="0" w:hRule="auto" w:wrap="auto" w:vAnchor="margin" w:hAnchor="text" w:xAlign="left" w:yAlign="inline"/>
        <w:jc w:val="both"/>
        <w:rPr>
          <w:color w:val="FF0000"/>
          <w:sz w:val="44"/>
          <w:szCs w:val="44"/>
        </w:rPr>
      </w:pPr>
    </w:p>
    <w:p>
      <w:pPr>
        <w:pStyle w:val="93"/>
        <w:framePr w:w="0" w:hRule="auto" w:wrap="auto" w:vAnchor="margin" w:hAnchor="text" w:xAlign="left" w:yAlign="inline"/>
        <w:tabs>
          <w:tab w:val="left" w:pos="2885"/>
          <w:tab w:val="center" w:pos="4819"/>
        </w:tabs>
        <w:rPr>
          <w:sz w:val="28"/>
          <w:szCs w:val="28"/>
        </w:rPr>
      </w:pPr>
      <w:r>
        <w:rPr>
          <w:rFonts w:hint="eastAsia"/>
        </w:rPr>
        <w:t>益生菌</w:t>
      </w:r>
      <w:r>
        <w:rPr>
          <w:rFonts w:hint="eastAsia"/>
          <w:lang w:val="en-US" w:eastAsia="zh-CN"/>
        </w:rPr>
        <w:t>调制</w:t>
      </w:r>
      <w:r>
        <w:rPr>
          <w:rFonts w:hint="eastAsia"/>
        </w:rPr>
        <w:t>植物油</w:t>
      </w:r>
      <w:r>
        <w:rPr>
          <w:rFonts w:hint="eastAsia"/>
          <w:lang w:eastAsia="zh-CN"/>
        </w:rPr>
        <w:t>（</w:t>
      </w:r>
      <w:r>
        <w:rPr>
          <w:rFonts w:hint="eastAsia"/>
        </w:rPr>
        <w:t>调味油</w:t>
      </w:r>
      <w:r>
        <w:rPr>
          <w:rFonts w:hint="eastAsia"/>
          <w:lang w:eastAsia="zh-CN"/>
        </w:rPr>
        <w:t>）</w:t>
      </w:r>
    </w:p>
    <w:p>
      <w:pPr>
        <w:pStyle w:val="115"/>
        <w:ind w:right="420"/>
        <w:rPr>
          <w:sz w:val="28"/>
          <w:szCs w:val="28"/>
        </w:rPr>
      </w:pPr>
    </w:p>
    <w:p>
      <w:pPr>
        <w:pStyle w:val="115"/>
        <w:ind w:right="420"/>
        <w:rPr>
          <w:sz w:val="28"/>
          <w:szCs w:val="28"/>
        </w:rPr>
      </w:pPr>
    </w:p>
    <w:p>
      <w:pPr>
        <w:pStyle w:val="115"/>
        <w:ind w:right="420"/>
        <w:rPr>
          <w:sz w:val="28"/>
          <w:szCs w:val="28"/>
        </w:rPr>
      </w:pPr>
    </w:p>
    <w:p>
      <w:pPr>
        <w:pStyle w:val="115"/>
        <w:ind w:right="420"/>
        <w:rPr>
          <w:sz w:val="28"/>
          <w:szCs w:val="28"/>
        </w:rPr>
      </w:pPr>
    </w:p>
    <w:p>
      <w:pPr>
        <w:pStyle w:val="115"/>
        <w:ind w:right="420"/>
        <w:rPr>
          <w:sz w:val="28"/>
          <w:szCs w:val="28"/>
        </w:rPr>
      </w:pPr>
    </w:p>
    <w:p>
      <w:pPr>
        <w:pStyle w:val="115"/>
        <w:ind w:right="420"/>
        <w:rPr>
          <w:sz w:val="28"/>
          <w:szCs w:val="28"/>
        </w:rPr>
      </w:pPr>
    </w:p>
    <w:p>
      <w:pPr>
        <w:pStyle w:val="115"/>
        <w:ind w:right="420"/>
        <w:rPr>
          <w:sz w:val="28"/>
          <w:szCs w:val="28"/>
        </w:rPr>
      </w:pPr>
    </w:p>
    <w:p>
      <w:pPr>
        <w:rPr>
          <w:rFonts w:ascii="黑体" w:eastAsia="黑体"/>
          <w:szCs w:val="21"/>
          <w:u w:val="thick"/>
        </w:rPr>
      </w:pPr>
    </w:p>
    <w:p>
      <w:pPr>
        <w:rPr>
          <w:rFonts w:ascii="黑体" w:eastAsia="黑体"/>
          <w:szCs w:val="21"/>
          <w:u w:val="thick"/>
        </w:rPr>
      </w:pPr>
    </w:p>
    <w:p>
      <w:pPr>
        <w:rPr>
          <w:rFonts w:ascii="黑体" w:eastAsia="黑体"/>
          <w:szCs w:val="21"/>
          <w:u w:val="thick"/>
        </w:rPr>
      </w:pPr>
    </w:p>
    <w:p>
      <w:pPr>
        <w:rPr>
          <w:rFonts w:ascii="黑体" w:eastAsia="黑体"/>
          <w:szCs w:val="21"/>
          <w:u w:val="thick"/>
        </w:rPr>
      </w:pPr>
    </w:p>
    <w:p>
      <w:pPr>
        <w:rPr>
          <w:rFonts w:ascii="黑体" w:eastAsia="黑体"/>
          <w:szCs w:val="21"/>
          <w:u w:val="thick"/>
        </w:rPr>
      </w:pPr>
    </w:p>
    <w:p>
      <w:pPr>
        <w:rPr>
          <w:rFonts w:ascii="黑体" w:eastAsia="黑体"/>
          <w:szCs w:val="21"/>
          <w:u w:val="thick"/>
        </w:rPr>
      </w:pPr>
    </w:p>
    <w:p>
      <w:pPr>
        <w:rPr>
          <w:rFonts w:ascii="黑体" w:eastAsia="黑体"/>
          <w:szCs w:val="21"/>
          <w:u w:val="thick"/>
        </w:rPr>
      </w:pPr>
    </w:p>
    <w:p>
      <w:pPr>
        <w:rPr>
          <w:rFonts w:ascii="黑体" w:eastAsia="黑体"/>
          <w:szCs w:val="21"/>
          <w:u w:val="thick"/>
        </w:rPr>
      </w:pPr>
    </w:p>
    <w:p>
      <w:pPr>
        <w:rPr>
          <w:rFonts w:ascii="黑体" w:eastAsia="黑体"/>
          <w:szCs w:val="21"/>
          <w:u w:val="thick"/>
        </w:rPr>
      </w:pPr>
    </w:p>
    <w:p>
      <w:pPr>
        <w:rPr>
          <w:rFonts w:hint="eastAsia" w:ascii="黑体" w:eastAsia="黑体"/>
          <w:spacing w:val="20"/>
          <w:sz w:val="28"/>
          <w:szCs w:val="28"/>
        </w:rPr>
      </w:pPr>
      <w:r>
        <w:rPr>
          <w:rFonts w:hint="eastAsia" w:ascii="黑体" w:hAnsi="黑体" w:eastAsia="黑体"/>
          <w:spacing w:val="20"/>
          <w:w w:val="150"/>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367665</wp:posOffset>
                </wp:positionV>
                <wp:extent cx="59397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939790" cy="63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9pt;margin-top:28.95pt;height:0.05pt;width:467.7pt;z-index:251660288;mso-width-relative:page;mso-height-relative:page;" filled="f" stroked="t" coordsize="21600,21600" o:gfxdata="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WOY99gAAAAJAQAA&#10;DwAAAAAAAAABACAAAAAiAAAAZHJzL2Rvd25yZXYueG1sUEsBAhQAFAAAAAgAh07iQEj2HjkZAgAA&#10;NQQAAA4AAAAAAAAAAQAgAAAAJwEAAGRycy9lMm9Eb2MueG1sUEsFBgAAAAAGAAYAWQEAALIFAAAA&#10;AA==&#10;">
                <v:fill on="f" focussize="0,0"/>
                <v:stroke color="#000000 [3200]" joinstyle="round"/>
                <v:imagedata o:title=""/>
                <o:lock v:ext="edit" aspectratio="f"/>
              </v:line>
            </w:pict>
          </mc:Fallback>
        </mc:AlternateContent>
      </w:r>
      <w:r>
        <w:rPr>
          <w:rFonts w:hint="eastAsia" w:ascii="黑体" w:eastAsia="黑体"/>
          <w:spacing w:val="20"/>
          <w:sz w:val="28"/>
          <w:szCs w:val="28"/>
        </w:rPr>
        <w:t>202</w:t>
      </w:r>
      <w:r>
        <w:rPr>
          <w:rFonts w:hint="eastAsia" w:ascii="黑体" w:eastAsia="黑体"/>
          <w:spacing w:val="20"/>
          <w:sz w:val="28"/>
          <w:szCs w:val="28"/>
          <w:lang w:val="en-US" w:eastAsia="zh-CN"/>
        </w:rPr>
        <w:t>1</w:t>
      </w:r>
      <w:r>
        <w:rPr>
          <w:rFonts w:hint="eastAsia" w:ascii="黑体" w:eastAsia="黑体"/>
          <w:spacing w:val="20"/>
          <w:sz w:val="28"/>
          <w:szCs w:val="28"/>
        </w:rPr>
        <w:t>-</w:t>
      </w:r>
      <w:r>
        <w:rPr>
          <w:rFonts w:hint="eastAsia" w:ascii="黑体" w:eastAsia="黑体"/>
          <w:spacing w:val="20"/>
          <w:sz w:val="28"/>
          <w:szCs w:val="28"/>
          <w:lang w:val="en-US" w:eastAsia="zh-CN"/>
        </w:rPr>
        <w:t>11</w:t>
      </w:r>
      <w:r>
        <w:rPr>
          <w:rFonts w:ascii="黑体" w:eastAsia="黑体"/>
          <w:spacing w:val="20"/>
          <w:sz w:val="28"/>
          <w:szCs w:val="28"/>
        </w:rPr>
        <w:t>-</w:t>
      </w:r>
      <w:r>
        <w:rPr>
          <w:rFonts w:hint="eastAsia" w:ascii="黑体" w:eastAsia="黑体"/>
          <w:spacing w:val="20"/>
          <w:sz w:val="28"/>
          <w:szCs w:val="28"/>
          <w:lang w:val="en-US" w:eastAsia="zh-CN"/>
        </w:rPr>
        <w:t>30</w:t>
      </w:r>
      <w:r>
        <w:rPr>
          <w:rFonts w:hint="eastAsia" w:ascii="黑体" w:eastAsia="黑体"/>
          <w:spacing w:val="20"/>
          <w:sz w:val="28"/>
          <w:szCs w:val="28"/>
        </w:rPr>
        <w:t>发布                         202</w:t>
      </w:r>
      <w:r>
        <w:rPr>
          <w:rFonts w:hint="eastAsia" w:ascii="黑体" w:eastAsia="黑体"/>
          <w:spacing w:val="20"/>
          <w:sz w:val="28"/>
          <w:szCs w:val="28"/>
          <w:lang w:val="en-US" w:eastAsia="zh-CN"/>
        </w:rPr>
        <w:t>1-12</w:t>
      </w:r>
      <w:r>
        <w:rPr>
          <w:rFonts w:ascii="黑体" w:eastAsia="黑体"/>
          <w:spacing w:val="20"/>
          <w:sz w:val="28"/>
          <w:szCs w:val="28"/>
        </w:rPr>
        <w:t>-</w:t>
      </w:r>
      <w:r>
        <w:rPr>
          <w:rFonts w:hint="eastAsia" w:ascii="黑体" w:eastAsia="黑体"/>
          <w:spacing w:val="20"/>
          <w:sz w:val="28"/>
          <w:szCs w:val="28"/>
          <w:lang w:val="en-US" w:eastAsia="zh-CN"/>
        </w:rPr>
        <w:t>05</w:t>
      </w:r>
      <w:r>
        <w:rPr>
          <w:rFonts w:hint="eastAsia" w:ascii="黑体" w:eastAsia="黑体"/>
          <w:spacing w:val="20"/>
          <w:sz w:val="28"/>
          <w:szCs w:val="28"/>
        </w:rPr>
        <w:t>实施</w:t>
      </w:r>
    </w:p>
    <w:p>
      <w:pPr>
        <w:jc w:val="center"/>
        <w:rPr>
          <w:rFonts w:ascii="黑体" w:eastAsia="黑体"/>
          <w:spacing w:val="20"/>
          <w:sz w:val="28"/>
          <w:szCs w:val="28"/>
        </w:rPr>
        <w:sectPr>
          <w:headerReference r:id="rId3" w:type="default"/>
          <w:headerReference r:id="rId4" w:type="even"/>
          <w:footerReference r:id="rId5" w:type="even"/>
          <w:pgSz w:w="11906" w:h="16838"/>
          <w:pgMar w:top="851" w:right="1134" w:bottom="1134" w:left="1418" w:header="850" w:footer="992" w:gutter="0"/>
          <w:cols w:space="720" w:num="1"/>
          <w:titlePg/>
          <w:docGrid w:type="lines" w:linePitch="312" w:charSpace="0"/>
        </w:sectPr>
      </w:pPr>
      <w:r>
        <w:rPr>
          <w:rFonts w:hint="eastAsia" w:ascii="黑体" w:hAnsi="黑体" w:eastAsia="黑体" w:cs="Times New Roman"/>
          <w:spacing w:val="20"/>
          <w:sz w:val="36"/>
          <w:szCs w:val="36"/>
        </w:rPr>
        <w:t>贵州生诺生物科技有限公司</w:t>
      </w:r>
      <w:r>
        <w:rPr>
          <w:rFonts w:hint="eastAsia" w:ascii="黑体" w:hAnsi="黑体" w:eastAsia="黑体"/>
          <w:spacing w:val="20"/>
          <w:sz w:val="36"/>
          <w:szCs w:val="36"/>
        </w:rPr>
        <w:t xml:space="preserve"> </w:t>
      </w:r>
      <w:r>
        <w:rPr>
          <w:rFonts w:hint="eastAsia" w:ascii="黑体" w:eastAsia="黑体"/>
          <w:spacing w:val="20"/>
          <w:sz w:val="28"/>
          <w:szCs w:val="28"/>
        </w:rPr>
        <w:t>发布</w:t>
      </w:r>
    </w:p>
    <w:bookmarkEnd w:id="0"/>
    <w:p>
      <w:pPr>
        <w:pStyle w:val="103"/>
      </w:pPr>
      <w:bookmarkStart w:id="1" w:name="_Toc25422998"/>
      <w:bookmarkStart w:id="2" w:name="_Toc237062517"/>
      <w:bookmarkStart w:id="3" w:name="SectionMark2"/>
      <w:r>
        <w:rPr>
          <w:rFonts w:hint="eastAsia"/>
        </w:rPr>
        <w:t>前  言</w:t>
      </w:r>
      <w:bookmarkEnd w:id="1"/>
      <w:bookmarkEnd w:id="2"/>
    </w:p>
    <w:p>
      <w:pPr>
        <w:pStyle w:val="126"/>
        <w:spacing w:before="0" w:after="0" w:line="360" w:lineRule="auto"/>
        <w:ind w:firstLine="420" w:firstLineChars="200"/>
        <w:rPr>
          <w:rFonts w:ascii="宋体" w:eastAsia="宋体"/>
          <w:sz w:val="21"/>
          <w:szCs w:val="21"/>
        </w:rPr>
      </w:pPr>
      <w:r>
        <w:rPr>
          <w:rFonts w:ascii="宋体" w:eastAsia="宋体"/>
          <w:sz w:val="21"/>
          <w:szCs w:val="21"/>
        </w:rPr>
        <w:t>本</w:t>
      </w:r>
      <w:r>
        <w:rPr>
          <w:rFonts w:hint="eastAsia" w:ascii="宋体" w:eastAsia="宋体"/>
          <w:sz w:val="21"/>
          <w:szCs w:val="21"/>
          <w:lang w:eastAsia="zh-CN"/>
        </w:rPr>
        <w:t>文件</w:t>
      </w:r>
      <w:r>
        <w:rPr>
          <w:rFonts w:ascii="宋体" w:eastAsia="宋体"/>
          <w:sz w:val="21"/>
          <w:szCs w:val="21"/>
        </w:rPr>
        <w:t>根据</w:t>
      </w:r>
      <w:r>
        <w:rPr>
          <w:rFonts w:hint="default" w:ascii="宋体" w:eastAsia="宋体"/>
          <w:sz w:val="21"/>
          <w:szCs w:val="21"/>
        </w:rPr>
        <w:t>GB/T 1.1</w:t>
      </w:r>
      <w:r>
        <w:rPr>
          <w:rFonts w:hint="eastAsia" w:ascii="宋体" w:eastAsia="宋体"/>
          <w:sz w:val="21"/>
          <w:szCs w:val="21"/>
          <w:lang w:val="en-US" w:eastAsia="zh-CN"/>
        </w:rPr>
        <w:t>-2020</w:t>
      </w:r>
      <w:r>
        <w:rPr>
          <w:rFonts w:hint="default" w:ascii="宋体" w:eastAsia="宋体"/>
          <w:sz w:val="21"/>
          <w:szCs w:val="21"/>
        </w:rPr>
        <w:t xml:space="preserve">《标准化工作导则 </w:t>
      </w:r>
      <w:r>
        <w:rPr>
          <w:rFonts w:ascii="宋体" w:eastAsia="宋体"/>
          <w:sz w:val="21"/>
          <w:szCs w:val="21"/>
        </w:rPr>
        <w:t>第</w:t>
      </w:r>
      <w:r>
        <w:rPr>
          <w:rFonts w:hint="eastAsia" w:ascii="宋体" w:eastAsia="宋体"/>
          <w:sz w:val="21"/>
          <w:szCs w:val="21"/>
          <w:lang w:val="en-US" w:eastAsia="zh-CN"/>
        </w:rPr>
        <w:t>1</w:t>
      </w:r>
      <w:r>
        <w:rPr>
          <w:rFonts w:ascii="宋体" w:eastAsia="宋体"/>
          <w:sz w:val="21"/>
          <w:szCs w:val="21"/>
        </w:rPr>
        <w:t>部分：标准</w:t>
      </w:r>
      <w:r>
        <w:rPr>
          <w:rFonts w:hint="eastAsia" w:ascii="宋体" w:eastAsia="宋体"/>
          <w:sz w:val="21"/>
          <w:szCs w:val="21"/>
          <w:lang w:eastAsia="zh-CN"/>
        </w:rPr>
        <w:t>化文件</w:t>
      </w:r>
      <w:r>
        <w:rPr>
          <w:rFonts w:ascii="宋体" w:eastAsia="宋体"/>
          <w:sz w:val="21"/>
          <w:szCs w:val="21"/>
        </w:rPr>
        <w:t>的结构和</w:t>
      </w:r>
      <w:r>
        <w:rPr>
          <w:rFonts w:hint="eastAsia" w:ascii="宋体" w:eastAsia="宋体"/>
          <w:sz w:val="21"/>
          <w:szCs w:val="21"/>
          <w:lang w:eastAsia="zh-CN"/>
        </w:rPr>
        <w:t>起草规则</w:t>
      </w:r>
      <w:r>
        <w:rPr>
          <w:rFonts w:ascii="宋体" w:eastAsia="宋体"/>
          <w:sz w:val="21"/>
          <w:szCs w:val="21"/>
        </w:rPr>
        <w:t>》的规定制定。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w:t>
      </w:r>
      <w:r>
        <w:rPr>
          <w:rFonts w:hint="eastAsia" w:asciiTheme="minorEastAsia" w:hAnsiTheme="minorEastAsia" w:eastAsiaTheme="minorEastAsia"/>
          <w:szCs w:val="21"/>
          <w:lang w:val="en-US" w:eastAsia="zh-CN"/>
        </w:rPr>
        <w:t>文件</w:t>
      </w:r>
      <w:r>
        <w:rPr>
          <w:rFonts w:hint="eastAsia" w:asciiTheme="minorEastAsia" w:hAnsiTheme="minorEastAsia" w:eastAsiaTheme="minorEastAsia"/>
          <w:szCs w:val="21"/>
        </w:rPr>
        <w:t>由贵州生诺生物科技有限公司</w:t>
      </w:r>
      <w:r>
        <w:rPr>
          <w:rFonts w:hint="eastAsia" w:ascii="宋体" w:hAnsi="宋体"/>
        </w:rPr>
        <w:t>提出</w:t>
      </w:r>
      <w:r>
        <w:rPr>
          <w:rFonts w:hint="eastAsia" w:ascii="宋体" w:hAnsi="宋体"/>
          <w:szCs w:val="21"/>
        </w:rPr>
        <w:t>、批准</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w:t>
      </w:r>
      <w:r>
        <w:rPr>
          <w:rFonts w:hint="eastAsia" w:asciiTheme="minorEastAsia" w:hAnsiTheme="minorEastAsia" w:eastAsiaTheme="minorEastAsia"/>
          <w:szCs w:val="21"/>
          <w:lang w:val="en-US" w:eastAsia="zh-CN"/>
        </w:rPr>
        <w:t>文件</w:t>
      </w:r>
      <w:r>
        <w:rPr>
          <w:rFonts w:hint="eastAsia" w:asciiTheme="minorEastAsia" w:hAnsiTheme="minorEastAsia" w:eastAsiaTheme="minorEastAsia"/>
          <w:szCs w:val="21"/>
        </w:rPr>
        <w:t>起草单位：贵州生诺生物科技有限公司。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w:t>
      </w:r>
      <w:r>
        <w:rPr>
          <w:rFonts w:hint="eastAsia" w:asciiTheme="minorEastAsia" w:hAnsiTheme="minorEastAsia" w:eastAsiaTheme="minorEastAsia"/>
          <w:szCs w:val="21"/>
          <w:lang w:val="en-US" w:eastAsia="zh-CN"/>
        </w:rPr>
        <w:t>文件</w:t>
      </w:r>
      <w:r>
        <w:rPr>
          <w:rFonts w:hint="eastAsia" w:asciiTheme="minorEastAsia" w:hAnsiTheme="minorEastAsia" w:eastAsiaTheme="minorEastAsia"/>
          <w:szCs w:val="21"/>
        </w:rPr>
        <w:t>主要起草人：王璐</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狄孟华</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冯才伟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钱兆鹏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路明。</w:t>
      </w:r>
    </w:p>
    <w:p>
      <w:pPr>
        <w:pStyle w:val="93"/>
        <w:framePr w:w="0" w:hRule="auto" w:wrap="auto" w:vAnchor="margin" w:hAnchor="text" w:xAlign="left" w:yAlign="inline"/>
        <w:tabs>
          <w:tab w:val="left" w:pos="2885"/>
          <w:tab w:val="center" w:pos="4819"/>
        </w:tabs>
        <w:spacing w:line="360" w:lineRule="auto"/>
        <w:ind w:firstLine="420" w:firstLineChars="200"/>
        <w:jc w:val="both"/>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本</w:t>
      </w:r>
      <w:r>
        <w:rPr>
          <w:rFonts w:hint="eastAsia" w:cs="Times New Roman" w:asciiTheme="minorEastAsia" w:hAnsiTheme="minorEastAsia" w:eastAsiaTheme="minorEastAsia"/>
          <w:color w:val="auto"/>
          <w:sz w:val="21"/>
          <w:szCs w:val="21"/>
          <w:lang w:val="en-US" w:eastAsia="zh-CN"/>
        </w:rPr>
        <w:t>文件代替</w:t>
      </w:r>
      <w:r>
        <w:rPr>
          <w:rFonts w:cs="Times New Roman" w:asciiTheme="minorEastAsia" w:hAnsiTheme="minorEastAsia" w:eastAsiaTheme="minorEastAsia"/>
          <w:color w:val="auto"/>
          <w:sz w:val="21"/>
          <w:szCs w:val="21"/>
          <w:lang w:val="en-US"/>
        </w:rPr>
        <w:t>Q/SNSW 0001S-2017</w:t>
      </w:r>
      <w:r>
        <w:rPr>
          <w:rFonts w:hint="eastAsia" w:cs="Times New Roman" w:asciiTheme="minorEastAsia" w:hAnsiTheme="minorEastAsia" w:eastAsiaTheme="minorEastAsia"/>
          <w:color w:val="auto"/>
          <w:sz w:val="21"/>
          <w:szCs w:val="21"/>
          <w:lang w:val="en-US" w:eastAsia="zh-CN"/>
        </w:rPr>
        <w:t>《</w:t>
      </w:r>
      <w:r>
        <w:rPr>
          <w:rFonts w:hint="eastAsia" w:cs="Times New Roman" w:asciiTheme="minorEastAsia" w:hAnsiTheme="minorEastAsia" w:eastAsiaTheme="minorEastAsia"/>
          <w:color w:val="auto"/>
          <w:sz w:val="21"/>
          <w:szCs w:val="21"/>
          <w:lang w:val="en-US"/>
        </w:rPr>
        <w:t>益生菌食用植物油</w:t>
      </w:r>
      <w:r>
        <w:rPr>
          <w:rFonts w:hint="eastAsia" w:cs="Times New Roman" w:asciiTheme="minorEastAsia" w:hAnsiTheme="minorEastAsia" w:eastAsiaTheme="minorEastAsia"/>
          <w:color w:val="auto"/>
          <w:sz w:val="21"/>
          <w:szCs w:val="21"/>
          <w:lang w:val="en-US" w:eastAsia="zh-CN"/>
        </w:rPr>
        <w:t>（</w:t>
      </w:r>
      <w:r>
        <w:rPr>
          <w:rFonts w:hint="eastAsia" w:cs="Times New Roman" w:asciiTheme="minorEastAsia" w:hAnsiTheme="minorEastAsia" w:eastAsiaTheme="minorEastAsia"/>
          <w:color w:val="auto"/>
          <w:sz w:val="21"/>
          <w:szCs w:val="21"/>
          <w:lang w:val="en-US"/>
        </w:rPr>
        <w:t>调味油</w:t>
      </w:r>
      <w:r>
        <w:rPr>
          <w:rFonts w:hint="eastAsia" w:cs="Times New Roman" w:asciiTheme="minorEastAsia" w:hAnsiTheme="minorEastAsia" w:eastAsiaTheme="minorEastAsia"/>
          <w:color w:val="auto"/>
          <w:sz w:val="21"/>
          <w:szCs w:val="21"/>
          <w:lang w:val="en-US" w:eastAsia="zh-CN"/>
        </w:rPr>
        <w:t>）》</w:t>
      </w:r>
      <w:r>
        <w:rPr>
          <w:rFonts w:hint="eastAsia" w:cs="Times New Roman" w:asciiTheme="minorEastAsia" w:hAnsiTheme="minorEastAsia" w:eastAsiaTheme="minorEastAsia"/>
          <w:color w:val="auto"/>
          <w:sz w:val="21"/>
          <w:szCs w:val="21"/>
          <w:lang w:val="en-US"/>
        </w:rPr>
        <w:t>。</w:t>
      </w:r>
    </w:p>
    <w:p>
      <w:pPr>
        <w:ind w:firstLine="420" w:firstLineChars="200"/>
        <w:rPr>
          <w:rFonts w:ascii="宋体" w:hAnsi="宋体"/>
          <w:szCs w:val="21"/>
        </w:rPr>
      </w:pPr>
    </w:p>
    <w:p>
      <w:pPr>
        <w:rPr>
          <w:rFonts w:ascii="宋体" w:hAnsi="宋体"/>
          <w:szCs w:val="21"/>
        </w:rPr>
      </w:pPr>
    </w:p>
    <w:p>
      <w:pPr>
        <w:ind w:firstLine="420" w:firstLineChars="200"/>
        <w:rPr>
          <w:rFonts w:ascii="宋体" w:hAnsi="宋体"/>
          <w:szCs w:val="21"/>
        </w:rPr>
      </w:pPr>
      <w:r>
        <w:rPr>
          <w:rFonts w:hint="eastAsia" w:ascii="宋体" w:hAnsi="宋体"/>
          <w:szCs w:val="21"/>
        </w:rPr>
        <w:t xml:space="preserve">                       </w:t>
      </w:r>
    </w:p>
    <w:p>
      <w:pPr>
        <w:ind w:firstLine="420" w:firstLineChars="200"/>
        <w:rPr>
          <w:rFonts w:ascii="宋体" w:hAnsi="宋体"/>
          <w:szCs w:val="21"/>
        </w:rPr>
        <w:sectPr>
          <w:headerReference r:id="rId6" w:type="default"/>
          <w:footerReference r:id="rId8" w:type="default"/>
          <w:headerReference r:id="rId7" w:type="even"/>
          <w:footerReference r:id="rId9" w:type="even"/>
          <w:pgSz w:w="11907" w:h="16839"/>
          <w:pgMar w:top="1418" w:right="1134" w:bottom="1134" w:left="1418" w:header="1418" w:footer="851" w:gutter="0"/>
          <w:pgNumType w:fmt="upperRoman"/>
          <w:cols w:space="720" w:num="1"/>
          <w:docGrid w:type="lines" w:linePitch="312" w:charSpace="0"/>
        </w:sectPr>
      </w:pPr>
      <w:r>
        <w:rPr>
          <w:rFonts w:hint="eastAsia" w:ascii="宋体" w:hAnsi="宋体"/>
          <w:szCs w:val="21"/>
        </w:rPr>
        <w:t xml:space="preserve">           </w:t>
      </w:r>
    </w:p>
    <w:bookmarkEnd w:id="3"/>
    <w:p>
      <w:pPr>
        <w:pStyle w:val="120"/>
        <w:spacing w:line="240" w:lineRule="auto"/>
      </w:pPr>
      <w:bookmarkStart w:id="4" w:name="SectionMark4"/>
      <w:r>
        <w:rPr>
          <w:rFonts w:hint="eastAsia"/>
        </w:rPr>
        <w:t>益生菌</w:t>
      </w:r>
      <w:r>
        <w:rPr>
          <w:rFonts w:hint="eastAsia"/>
          <w:lang w:val="en-US" w:eastAsia="zh-CN"/>
        </w:rPr>
        <w:t>调制</w:t>
      </w:r>
      <w:r>
        <w:rPr>
          <w:rFonts w:hint="eastAsia"/>
        </w:rPr>
        <w:t>植物油（调味油）</w:t>
      </w:r>
    </w:p>
    <w:p>
      <w:pPr>
        <w:pStyle w:val="55"/>
        <w:spacing w:beforeLines="100" w:afterLines="100"/>
        <w:ind w:firstLine="0" w:firstLineChars="0"/>
        <w:rPr>
          <w:rFonts w:ascii="黑体" w:eastAsia="黑体"/>
          <w:color w:val="FF0000"/>
        </w:rPr>
      </w:pPr>
      <w:r>
        <w:rPr>
          <w:rFonts w:hint="eastAsia" w:ascii="黑体" w:eastAsia="黑体"/>
        </w:rPr>
        <w:t>1  范围</w:t>
      </w:r>
    </w:p>
    <w:p>
      <w:pPr>
        <w:pStyle w:val="55"/>
        <w:ind w:firstLine="420"/>
        <w:rPr>
          <w:rFonts w:hint="eastAsia"/>
          <w:lang w:val="en-US" w:eastAsia="zh-CN"/>
        </w:rPr>
      </w:pPr>
      <w:r>
        <w:rPr>
          <w:rFonts w:hint="eastAsia"/>
        </w:rPr>
        <w:t>本</w:t>
      </w:r>
      <w:r>
        <w:rPr>
          <w:rFonts w:hint="eastAsia"/>
          <w:lang w:val="en-US" w:eastAsia="zh-CN"/>
        </w:rPr>
        <w:t>文件</w:t>
      </w:r>
      <w:r>
        <w:rPr>
          <w:rFonts w:hint="eastAsia"/>
        </w:rPr>
        <w:t>规定了益生菌</w:t>
      </w:r>
      <w:r>
        <w:rPr>
          <w:rFonts w:hint="eastAsia"/>
          <w:lang w:val="en-US" w:eastAsia="zh-CN"/>
        </w:rPr>
        <w:t>调制</w:t>
      </w:r>
      <w:r>
        <w:rPr>
          <w:rFonts w:hint="eastAsia"/>
        </w:rPr>
        <w:t>植物油（调味油）的的术语和定义</w:t>
      </w:r>
      <w:r>
        <w:rPr>
          <w:rFonts w:hint="eastAsia" w:ascii="仿宋" w:hAnsi="仿宋" w:eastAsia="仿宋" w:cs="仿宋"/>
          <w:sz w:val="24"/>
          <w:lang w:eastAsia="zh-CN"/>
        </w:rPr>
        <w:t>、</w:t>
      </w:r>
      <w:r>
        <w:rPr>
          <w:rFonts w:hint="eastAsia"/>
        </w:rPr>
        <w:t>要求（检验方法）、</w:t>
      </w:r>
      <w:r>
        <w:rPr>
          <w:rFonts w:hint="eastAsia"/>
          <w:lang w:val="en-US" w:eastAsia="zh-CN"/>
        </w:rPr>
        <w:t>检验规则、包装、标志、标签、运输和贮存。</w:t>
      </w:r>
    </w:p>
    <w:p>
      <w:pPr>
        <w:ind w:firstLine="420" w:firstLineChars="200"/>
      </w:pPr>
      <w:r>
        <w:rPr>
          <w:rFonts w:hint="eastAsia"/>
        </w:rPr>
        <w:t>本</w:t>
      </w:r>
      <w:r>
        <w:rPr>
          <w:rFonts w:hint="eastAsia"/>
          <w:lang w:val="en-US" w:eastAsia="zh-CN"/>
        </w:rPr>
        <w:t>文件</w:t>
      </w:r>
      <w:r>
        <w:rPr>
          <w:rFonts w:hint="eastAsia"/>
        </w:rPr>
        <w:t>适用于</w:t>
      </w:r>
      <w:r>
        <w:rPr>
          <w:rFonts w:hint="eastAsia" w:asciiTheme="minorEastAsia" w:hAnsiTheme="minorEastAsia" w:eastAsiaTheme="minorEastAsia"/>
          <w:szCs w:val="21"/>
        </w:rPr>
        <w:t>贵州生诺生物科技有限公司</w:t>
      </w:r>
      <w:r>
        <w:rPr>
          <w:rFonts w:hint="eastAsia"/>
        </w:rPr>
        <w:t>益生菌食用植物油（调味油）</w:t>
      </w:r>
      <w:r>
        <w:rPr>
          <w:rFonts w:hint="eastAsia"/>
          <w:lang w:val="en-US" w:eastAsia="zh-CN"/>
        </w:rPr>
        <w:t>的生产、检验、销售</w:t>
      </w:r>
      <w:r>
        <w:rPr>
          <w:rFonts w:hint="eastAsia"/>
        </w:rPr>
        <w:t>。</w:t>
      </w:r>
      <w:bookmarkStart w:id="5" w:name="_Toc237062519"/>
    </w:p>
    <w:p>
      <w:pPr>
        <w:pStyle w:val="55"/>
        <w:spacing w:beforeLines="100" w:afterLines="100"/>
        <w:ind w:firstLine="0" w:firstLineChars="0"/>
        <w:rPr>
          <w:rFonts w:ascii="黑体" w:eastAsia="黑体"/>
        </w:rPr>
      </w:pPr>
      <w:r>
        <w:rPr>
          <w:rFonts w:hint="eastAsia" w:ascii="黑体" w:eastAsia="黑体"/>
        </w:rPr>
        <w:t>2  规范性引用文件</w:t>
      </w:r>
      <w:bookmarkEnd w:id="5"/>
    </w:p>
    <w:p>
      <w:pPr>
        <w:tabs>
          <w:tab w:val="left" w:pos="2401"/>
        </w:tabs>
        <w:ind w:firstLine="420" w:firstLineChars="200"/>
        <w:rPr>
          <w:rFonts w:hint="eastAsia" w:ascii="宋体" w:hAnsi="宋体" w:cs="宋体"/>
          <w:szCs w:val="21"/>
        </w:rPr>
      </w:pPr>
      <w:r>
        <w:rPr>
          <w:rFonts w:hint="eastAsia" w:ascii="宋体"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5"/>
      </w:pPr>
      <w:r>
        <w:rPr>
          <w:rFonts w:hint="eastAsia"/>
        </w:rPr>
        <w:t>GB/T 191  包装储运图示标志</w:t>
      </w:r>
    </w:p>
    <w:p>
      <w:pPr>
        <w:pStyle w:val="55"/>
        <w:rPr>
          <w:rFonts w:hint="eastAsia"/>
        </w:rPr>
      </w:pPr>
      <w:r>
        <w:rPr>
          <w:rFonts w:hint="eastAsia"/>
        </w:rPr>
        <w:t xml:space="preserve">GB/T 1534 </w:t>
      </w:r>
      <w:r>
        <w:rPr>
          <w:rFonts w:hint="eastAsia"/>
          <w:lang w:val="en-US" w:eastAsia="zh-CN"/>
        </w:rPr>
        <w:t xml:space="preserve"> </w:t>
      </w:r>
      <w:r>
        <w:rPr>
          <w:rFonts w:hint="eastAsia"/>
        </w:rPr>
        <w:t>花生油</w:t>
      </w:r>
    </w:p>
    <w:p>
      <w:pPr>
        <w:pStyle w:val="55"/>
        <w:ind w:firstLine="420"/>
        <w:rPr>
          <w:rFonts w:hint="eastAsia"/>
        </w:rPr>
      </w:pPr>
      <w:r>
        <w:rPr>
          <w:rFonts w:hint="eastAsia"/>
        </w:rPr>
        <w:t xml:space="preserve">GB 2716 </w:t>
      </w:r>
      <w:r>
        <w:rPr>
          <w:rFonts w:hint="eastAsia"/>
          <w:lang w:val="en-US" w:eastAsia="zh-CN"/>
        </w:rPr>
        <w:t xml:space="preserve"> </w:t>
      </w:r>
      <w:r>
        <w:rPr>
          <w:rFonts w:hint="eastAsia"/>
        </w:rPr>
        <w:t>食品安全国家标准 植物油</w:t>
      </w:r>
    </w:p>
    <w:p>
      <w:pPr>
        <w:pStyle w:val="55"/>
        <w:ind w:firstLine="420"/>
      </w:pPr>
      <w:r>
        <w:rPr>
          <w:rFonts w:hint="eastAsia"/>
        </w:rPr>
        <w:t>GB 2760  食品安全国家标准 食品添加剂使用标准</w:t>
      </w:r>
    </w:p>
    <w:p>
      <w:pPr>
        <w:pStyle w:val="55"/>
        <w:ind w:firstLine="420"/>
      </w:pPr>
      <w:r>
        <w:rPr>
          <w:rFonts w:hint="eastAsia"/>
        </w:rPr>
        <w:t>GB 2761  食品安全国家标准 食品中真菌毒素限量</w:t>
      </w:r>
    </w:p>
    <w:p>
      <w:pPr>
        <w:pStyle w:val="55"/>
        <w:ind w:firstLine="420"/>
      </w:pPr>
      <w:r>
        <w:rPr>
          <w:rFonts w:hint="eastAsia"/>
        </w:rPr>
        <w:t>GB 2762  食品安全国家标准 食品中污染物限量</w:t>
      </w:r>
    </w:p>
    <w:p>
      <w:pPr>
        <w:pStyle w:val="55"/>
        <w:ind w:firstLine="420"/>
      </w:pPr>
      <w:r>
        <w:rPr>
          <w:rFonts w:hint="eastAsia"/>
        </w:rPr>
        <w:t>GB 2763  食品安全国家标准 食品中农药最大残留限量</w:t>
      </w:r>
    </w:p>
    <w:p>
      <w:pPr>
        <w:pStyle w:val="55"/>
        <w:ind w:firstLine="420"/>
      </w:pPr>
      <w:r>
        <w:rPr>
          <w:rFonts w:hint="eastAsia"/>
        </w:rPr>
        <w:t>GB 4789.35  食品安全国家标准 食品微生物学检验 乳酸菌检验</w:t>
      </w:r>
    </w:p>
    <w:p>
      <w:pPr>
        <w:pStyle w:val="55"/>
        <w:ind w:firstLine="420"/>
      </w:pPr>
      <w:r>
        <w:rPr>
          <w:rFonts w:hint="eastAsia"/>
        </w:rPr>
        <w:t>GB 5009.11  食品安全国家标准 食品中总砷及无机砷的测定</w:t>
      </w:r>
    </w:p>
    <w:p>
      <w:pPr>
        <w:pStyle w:val="55"/>
        <w:ind w:firstLine="420"/>
      </w:pPr>
      <w:r>
        <w:rPr>
          <w:rFonts w:hint="eastAsia"/>
        </w:rPr>
        <w:t>GB 5009.12  食品安全国家标准 食品中铅的测定</w:t>
      </w:r>
    </w:p>
    <w:p>
      <w:pPr>
        <w:pStyle w:val="55"/>
        <w:ind w:firstLine="420"/>
      </w:pPr>
      <w:r>
        <w:rPr>
          <w:rFonts w:hint="eastAsia"/>
        </w:rPr>
        <w:t>GB 5009.22  食品安全国家标准 食品中黄曲霉毒素B族和G族的测定</w:t>
      </w:r>
    </w:p>
    <w:p>
      <w:pPr>
        <w:pStyle w:val="55"/>
        <w:ind w:firstLine="420"/>
      </w:pPr>
      <w:r>
        <w:rPr>
          <w:rFonts w:hint="eastAsia"/>
        </w:rPr>
        <w:t>GB 5009.27  食品安全国家标准 食品中苯（a）并芘的测定</w:t>
      </w:r>
    </w:p>
    <w:p>
      <w:pPr>
        <w:pStyle w:val="55"/>
        <w:ind w:firstLine="420"/>
      </w:pPr>
      <w:r>
        <w:rPr>
          <w:rFonts w:hint="eastAsia"/>
        </w:rPr>
        <w:t>GB 5009.227  食品安全国家标准 食品中过氧化值的测定</w:t>
      </w:r>
    </w:p>
    <w:p>
      <w:pPr>
        <w:pStyle w:val="55"/>
        <w:ind w:firstLine="420"/>
      </w:pPr>
      <w:r>
        <w:rPr>
          <w:rFonts w:hint="eastAsia"/>
        </w:rPr>
        <w:t>GB 5009.229  食品安全国家标准 食品中酸价的测定</w:t>
      </w:r>
    </w:p>
    <w:p>
      <w:pPr>
        <w:pStyle w:val="55"/>
        <w:ind w:firstLine="420"/>
        <w:rPr>
          <w:szCs w:val="21"/>
        </w:rPr>
      </w:pPr>
      <w:r>
        <w:rPr>
          <w:rFonts w:hint="eastAsia"/>
          <w:szCs w:val="21"/>
        </w:rPr>
        <w:t xml:space="preserve">GB 5009.236  </w:t>
      </w:r>
      <w:r>
        <w:rPr>
          <w:rFonts w:ascii="Verdana" w:hAnsi="Verdana"/>
          <w:szCs w:val="21"/>
          <w:shd w:val="clear" w:color="auto" w:fill="FFFFFF"/>
        </w:rPr>
        <w:t>食品安全国家标准 动植物油脂水分及挥发物的测定</w:t>
      </w:r>
    </w:p>
    <w:p>
      <w:pPr>
        <w:pStyle w:val="55"/>
        <w:ind w:firstLine="420"/>
      </w:pPr>
      <w:r>
        <w:rPr>
          <w:rFonts w:hint="eastAsia"/>
        </w:rPr>
        <w:t>GB 7718  食品安全国家标准 预包装食品标签通则</w:t>
      </w:r>
    </w:p>
    <w:p>
      <w:pPr>
        <w:pStyle w:val="55"/>
        <w:ind w:firstLine="420"/>
      </w:pPr>
      <w:r>
        <w:rPr>
          <w:rFonts w:hint="eastAsia"/>
        </w:rPr>
        <w:t>GB/T 10464  葵花籽油</w:t>
      </w:r>
    </w:p>
    <w:p>
      <w:pPr>
        <w:pStyle w:val="55"/>
        <w:ind w:firstLine="420"/>
      </w:pPr>
      <w:r>
        <w:rPr>
          <w:rFonts w:hint="eastAsia"/>
        </w:rPr>
        <w:t>GB 14881  食品安全国家标准 食品生产通用卫生规范</w:t>
      </w:r>
    </w:p>
    <w:p>
      <w:pPr>
        <w:pStyle w:val="55"/>
        <w:ind w:firstLine="420"/>
        <w:rPr>
          <w:rFonts w:hint="eastAsia"/>
        </w:rPr>
      </w:pPr>
      <w:r>
        <w:rPr>
          <w:rFonts w:hint="eastAsia"/>
        </w:rPr>
        <w:t>GB/T 23347 橄榄油、油橄榄果渣油</w:t>
      </w:r>
    </w:p>
    <w:p>
      <w:pPr>
        <w:ind w:firstLine="420" w:firstLineChars="200"/>
        <w:rPr>
          <w:rFonts w:ascii="宋体" w:hAnsi="宋体"/>
        </w:rPr>
      </w:pPr>
      <w:bookmarkStart w:id="6" w:name="_Toc237062520"/>
      <w:r>
        <w:rPr>
          <w:rFonts w:hint="eastAsia" w:ascii="宋体" w:hAnsi="宋体"/>
        </w:rPr>
        <w:t xml:space="preserve">JJF 1070 </w:t>
      </w:r>
      <w:r>
        <w:rPr>
          <w:rFonts w:hint="eastAsia" w:hAnsi="宋体"/>
        </w:rPr>
        <w:t xml:space="preserve"> </w:t>
      </w:r>
      <w:r>
        <w:t>定量包装商品净含量计量检验规则</w:t>
      </w:r>
    </w:p>
    <w:p>
      <w:pPr>
        <w:pStyle w:val="55"/>
        <w:ind w:firstLine="420"/>
        <w:rPr>
          <w:rFonts w:hint="eastAsia"/>
        </w:rPr>
      </w:pPr>
      <w:r>
        <w:rPr>
          <w:rFonts w:hint="eastAsia"/>
          <w:szCs w:val="21"/>
        </w:rPr>
        <w:t>国家质量监督检验检疫总局令</w:t>
      </w:r>
      <w:r>
        <w:rPr>
          <w:rFonts w:hint="eastAsia"/>
        </w:rPr>
        <w:t xml:space="preserve">（2005）第75号 </w:t>
      </w:r>
      <w:r>
        <w:t xml:space="preserve"> </w:t>
      </w:r>
      <w:r>
        <w:rPr>
          <w:rFonts w:hint="eastAsia"/>
        </w:rPr>
        <w:t>定量包装商品计量监督管理办法</w:t>
      </w:r>
    </w:p>
    <w:p>
      <w:pPr>
        <w:pStyle w:val="55"/>
        <w:ind w:firstLine="420"/>
        <w:rPr>
          <w:rFonts w:hint="eastAsia" w:ascii="宋体" w:hAnsi="Times New Roman" w:eastAsia="宋体" w:cs="Times New Roman"/>
          <w:b w:val="0"/>
          <w:bCs w:val="0"/>
          <w:kern w:val="0"/>
          <w:sz w:val="21"/>
          <w:szCs w:val="20"/>
          <w:lang w:val="en-US" w:eastAsia="zh-CN" w:bidi="ar-SA"/>
        </w:rPr>
      </w:pPr>
      <w:r>
        <w:rPr>
          <w:rFonts w:hint="eastAsia" w:ascii="宋体" w:hAnsi="Times New Roman" w:eastAsia="宋体" w:cs="Times New Roman"/>
          <w:b w:val="0"/>
          <w:bCs w:val="0"/>
          <w:kern w:val="0"/>
          <w:sz w:val="21"/>
          <w:szCs w:val="20"/>
          <w:lang w:val="en-US" w:eastAsia="zh-CN" w:bidi="ar-SA"/>
        </w:rPr>
        <w:t>卫生部关于批准低聚半乳糖等新资源食品的公告(卫生部公告2008年第20号)</w:t>
      </w:r>
    </w:p>
    <w:p>
      <w:pPr>
        <w:pStyle w:val="55"/>
        <w:ind w:firstLine="420"/>
        <w:rPr>
          <w:rFonts w:hint="eastAsia" w:ascii="宋体" w:hAnsi="Times New Roman" w:eastAsia="宋体" w:cs="Times New Roman"/>
          <w:b w:val="0"/>
          <w:bCs w:val="0"/>
          <w:kern w:val="0"/>
          <w:sz w:val="21"/>
          <w:szCs w:val="20"/>
          <w:lang w:val="en-US" w:eastAsia="zh-CN" w:bidi="ar-SA"/>
        </w:rPr>
      </w:pPr>
      <w:r>
        <w:rPr>
          <w:rFonts w:hint="eastAsia" w:ascii="宋体" w:hAnsi="Times New Roman" w:eastAsia="宋体" w:cs="Times New Roman"/>
          <w:b w:val="0"/>
          <w:bCs w:val="0"/>
          <w:kern w:val="0"/>
          <w:sz w:val="21"/>
          <w:szCs w:val="20"/>
          <w:lang w:val="en-US" w:eastAsia="zh-CN" w:bidi="ar-SA"/>
        </w:rPr>
        <w:t>卫生部关于批准菊粉、多聚果糖为新资源食品的公告（卫生部公告2009年第5号）</w:t>
      </w:r>
    </w:p>
    <w:p>
      <w:pPr>
        <w:pStyle w:val="55"/>
        <w:ind w:firstLine="420"/>
        <w:rPr>
          <w:rFonts w:hint="eastAsia" w:ascii="宋体" w:hAnsi="Times New Roman" w:eastAsia="宋体" w:cs="Times New Roman"/>
          <w:b w:val="0"/>
          <w:bCs w:val="0"/>
          <w:color w:val="auto"/>
          <w:kern w:val="0"/>
          <w:sz w:val="21"/>
          <w:szCs w:val="20"/>
          <w:lang w:val="en-US" w:eastAsia="zh-CN" w:bidi="ar-SA"/>
        </w:rPr>
      </w:pPr>
      <w:r>
        <w:rPr>
          <w:rFonts w:hint="eastAsia" w:ascii="宋体" w:hAnsi="Times New Roman" w:eastAsia="宋体" w:cs="Times New Roman"/>
          <w:b w:val="0"/>
          <w:bCs w:val="0"/>
          <w:kern w:val="0"/>
          <w:sz w:val="21"/>
          <w:szCs w:val="20"/>
          <w:lang w:val="en-US" w:eastAsia="zh-CN" w:bidi="ar-SA"/>
        </w:rPr>
        <w:t>关于批准DHA藻油、棉籽低聚糖等7种物品为新资源食品及其他相关规定的公告</w:t>
      </w:r>
      <w:r>
        <w:rPr>
          <w:rFonts w:hint="eastAsia" w:ascii="宋体" w:hAnsi="Times New Roman" w:eastAsia="宋体" w:cs="Times New Roman"/>
          <w:b w:val="0"/>
          <w:bCs w:val="0"/>
          <w:color w:val="auto"/>
          <w:kern w:val="0"/>
          <w:sz w:val="21"/>
          <w:szCs w:val="20"/>
          <w:lang w:val="en-US" w:eastAsia="zh-CN" w:bidi="ar-SA"/>
        </w:rPr>
        <w:t>(卫生部公告2010年第3号)</w:t>
      </w:r>
    </w:p>
    <w:p>
      <w:pPr>
        <w:ind w:firstLine="420" w:firstLineChars="200"/>
      </w:pPr>
      <w:r>
        <w:t>卫生部办公厅关于印发《可用于食品的菌种名单》的通知（卫办监督发〔</w:t>
      </w:r>
      <w:r>
        <w:rPr>
          <w:rFonts w:hint="eastAsia" w:asciiTheme="majorEastAsia" w:hAnsiTheme="majorEastAsia" w:eastAsiaTheme="majorEastAsia" w:cstheme="majorEastAsia"/>
        </w:rPr>
        <w:t>2010〕65</w:t>
      </w:r>
      <w:r>
        <w:t>号）</w:t>
      </w:r>
    </w:p>
    <w:p>
      <w:pPr>
        <w:spacing w:before="156" w:beforeLines="50" w:after="156" w:afterLines="50" w:line="400" w:lineRule="exact"/>
        <w:rPr>
          <w:rFonts w:hint="eastAsia" w:ascii="黑体" w:hAnsi="黑体" w:eastAsia="黑体" w:cs="黑体"/>
          <w:szCs w:val="21"/>
        </w:rPr>
      </w:pPr>
    </w:p>
    <w:p>
      <w:pPr>
        <w:spacing w:before="156" w:beforeLines="50" w:after="156" w:afterLines="50" w:line="400" w:lineRule="exact"/>
        <w:rPr>
          <w:rFonts w:hint="eastAsia" w:ascii="黑体" w:hAnsi="黑体" w:eastAsia="黑体" w:cs="黑体"/>
          <w:szCs w:val="21"/>
        </w:rPr>
      </w:pPr>
      <w:r>
        <w:rPr>
          <w:rFonts w:hint="eastAsia" w:ascii="黑体" w:hAnsi="黑体" w:eastAsia="黑体" w:cs="黑体"/>
          <w:szCs w:val="21"/>
        </w:rPr>
        <w:t>3 术语和定义</w:t>
      </w:r>
    </w:p>
    <w:p>
      <w:pPr>
        <w:pStyle w:val="55"/>
        <w:spacing w:before="156" w:beforeLines="50" w:after="156" w:afterLines="50" w:line="280" w:lineRule="exact"/>
        <w:ind w:firstLine="420"/>
        <w:rPr>
          <w:rFonts w:ascii="Times New Roman"/>
          <w:szCs w:val="21"/>
        </w:rPr>
      </w:pPr>
      <w:r>
        <w:rPr>
          <w:rFonts w:ascii="Times New Roman"/>
          <w:szCs w:val="21"/>
        </w:rPr>
        <w:t>下列术语和定义适用于本文件。</w:t>
      </w:r>
    </w:p>
    <w:p>
      <w:pPr>
        <w:pStyle w:val="55"/>
        <w:spacing w:before="50" w:after="50" w:line="280" w:lineRule="exact"/>
        <w:ind w:firstLine="0" w:firstLineChars="0"/>
        <w:rPr>
          <w:rFonts w:hint="eastAsia" w:ascii="黑体" w:hAnsi="黑体" w:eastAsia="黑体" w:cs="黑体"/>
        </w:rPr>
      </w:pPr>
      <w:r>
        <w:rPr>
          <w:rFonts w:hint="eastAsia" w:ascii="黑体" w:hAnsi="黑体" w:eastAsia="黑体" w:cs="黑体"/>
        </w:rPr>
        <w:t xml:space="preserve">3.1 </w:t>
      </w:r>
    </w:p>
    <w:p>
      <w:pPr>
        <w:pStyle w:val="62"/>
        <w:numPr>
          <w:ilvl w:val="2"/>
          <w:numId w:val="0"/>
        </w:numPr>
        <w:spacing w:before="156" w:beforeLines="50" w:after="156" w:afterLines="50"/>
        <w:ind w:firstLine="420" w:firstLineChars="200"/>
        <w:rPr>
          <w:rFonts w:hint="eastAsia" w:ascii="黑体" w:hAnsi="黑体" w:cs="黑体"/>
          <w:lang w:val="en-US" w:eastAsia="zh-CN"/>
        </w:rPr>
      </w:pPr>
      <w:r>
        <w:rPr>
          <w:rFonts w:hint="eastAsia" w:ascii="黑体" w:hAnsi="黑体" w:cs="黑体"/>
          <w:lang w:val="en-US" w:eastAsia="zh-CN"/>
        </w:rPr>
        <w:t>益生菌调制植物油（调味油）</w:t>
      </w:r>
    </w:p>
    <w:p>
      <w:pPr>
        <w:pStyle w:val="55"/>
        <w:rPr>
          <w:rFonts w:hint="eastAsia" w:ascii="黑体" w:hAnsi="黑体" w:cs="黑体"/>
          <w:lang w:val="en-US" w:eastAsia="zh-CN"/>
        </w:rPr>
      </w:pPr>
      <w:r>
        <w:rPr>
          <w:rFonts w:hint="eastAsia"/>
        </w:rPr>
        <w:t>以食用植物油（葵花籽油、花生油、橄榄油、其他食用植物油）为原料，添加</w:t>
      </w:r>
      <w:r>
        <w:rPr>
          <w:rFonts w:hint="eastAsia"/>
          <w:szCs w:val="21"/>
          <w:lang w:val="zh-CN" w:bidi="zh-CN"/>
        </w:rPr>
        <w:t>食用</w:t>
      </w:r>
      <w:r>
        <w:rPr>
          <w:szCs w:val="21"/>
          <w:lang w:val="zh-CN" w:bidi="zh-CN"/>
        </w:rPr>
        <w:t xml:space="preserve">益生菌 </w:t>
      </w:r>
      <w:r>
        <w:rPr>
          <w:rFonts w:hint="eastAsia"/>
          <w:szCs w:val="21"/>
          <w:lang w:val="zh-CN" w:bidi="zh-CN"/>
        </w:rPr>
        <w:t>（</w:t>
      </w:r>
      <w:r>
        <w:rPr>
          <w:rFonts w:hint="eastAsia"/>
          <w:szCs w:val="21"/>
        </w:rPr>
        <w:t>双歧杆菌属</w:t>
      </w:r>
      <w:r>
        <w:rPr>
          <w:szCs w:val="21"/>
        </w:rPr>
        <w:t>、乳杆菌属</w:t>
      </w:r>
      <w:r>
        <w:rPr>
          <w:rFonts w:hint="eastAsia"/>
          <w:szCs w:val="21"/>
          <w:lang w:val="zh-CN" w:bidi="zh-CN"/>
        </w:rPr>
        <w:t>等国</w:t>
      </w:r>
      <w:r>
        <w:rPr>
          <w:szCs w:val="21"/>
          <w:lang w:val="zh-CN" w:bidi="zh-CN"/>
        </w:rPr>
        <w:t>家</w:t>
      </w:r>
      <w:r>
        <w:rPr>
          <w:rFonts w:hint="eastAsia"/>
          <w:szCs w:val="21"/>
          <w:lang w:val="zh-CN" w:bidi="zh-CN"/>
        </w:rPr>
        <w:t>规范可用于食品的菌种名单）</w:t>
      </w:r>
      <w:r>
        <w:rPr>
          <w:rFonts w:hint="eastAsia"/>
        </w:rPr>
        <w:t>、添加或不添加适用范围内的</w:t>
      </w:r>
      <w:r>
        <w:rPr>
          <w:rFonts w:hint="eastAsia"/>
          <w:szCs w:val="21"/>
          <w:lang w:val="zh-CN" w:bidi="zh-CN"/>
        </w:rPr>
        <w:t>新</w:t>
      </w:r>
      <w:r>
        <w:rPr>
          <w:rFonts w:hint="eastAsia"/>
          <w:szCs w:val="21"/>
          <w:lang w:val="en-US" w:eastAsia="zh-CN" w:bidi="zh-CN"/>
        </w:rPr>
        <w:t>资源</w:t>
      </w:r>
      <w:r>
        <w:rPr>
          <w:rFonts w:hint="eastAsia"/>
          <w:szCs w:val="21"/>
          <w:lang w:val="zh-CN" w:bidi="zh-CN"/>
        </w:rPr>
        <w:t>食品原料</w:t>
      </w:r>
      <w:r>
        <w:rPr>
          <w:rFonts w:hint="eastAsia"/>
          <w:szCs w:val="21"/>
          <w:lang w:val="en-US" w:eastAsia="zh-CN" w:bidi="zh-CN"/>
        </w:rPr>
        <w:t>（</w:t>
      </w:r>
      <w:r>
        <w:rPr>
          <w:rFonts w:hint="eastAsia" w:ascii="Times New Roman" w:hAnsi="Times New Roman" w:eastAsia="宋体" w:cs="Times New Roman"/>
          <w:kern w:val="2"/>
          <w:sz w:val="21"/>
          <w:szCs w:val="24"/>
          <w:lang w:val="en-US" w:eastAsia="zh-CN" w:bidi="ar-SA"/>
        </w:rPr>
        <w:t>如</w:t>
      </w:r>
      <w:r>
        <w:rPr>
          <w:rFonts w:hint="eastAsia" w:ascii="宋体" w:hAnsi="宋体" w:eastAsia="宋体" w:cs="宋体"/>
          <w:kern w:val="2"/>
          <w:sz w:val="21"/>
          <w:szCs w:val="24"/>
          <w:lang w:val="en-US" w:eastAsia="zh-CN" w:bidi="ar-SA"/>
        </w:rPr>
        <w:t>DHA</w:t>
      </w:r>
      <w:r>
        <w:rPr>
          <w:rFonts w:hint="eastAsia" w:ascii="Times New Roman" w:hAnsi="Times New Roman" w:eastAsia="宋体" w:cs="Times New Roman"/>
          <w:kern w:val="2"/>
          <w:sz w:val="21"/>
          <w:szCs w:val="24"/>
          <w:lang w:val="en-US" w:eastAsia="zh-CN" w:bidi="ar-SA"/>
        </w:rPr>
        <w:t>藻油、菊粉、低聚半乳糖等）</w:t>
      </w:r>
      <w:r>
        <w:rPr>
          <w:rFonts w:hint="eastAsia"/>
        </w:rPr>
        <w:t>，经配料、混合、灌装、包装制成的益生菌食用植物油（调味油）。</w:t>
      </w:r>
    </w:p>
    <w:p>
      <w:pPr>
        <w:pStyle w:val="55"/>
        <w:spacing w:beforeLines="100" w:afterLines="100"/>
        <w:ind w:firstLine="0" w:firstLineChars="0"/>
        <w:rPr>
          <w:rFonts w:ascii="黑体" w:eastAsia="黑体"/>
        </w:rPr>
      </w:pPr>
      <w:r>
        <w:rPr>
          <w:rFonts w:hint="eastAsia" w:ascii="黑体" w:eastAsia="黑体"/>
          <w:lang w:val="en-US" w:eastAsia="zh-CN"/>
        </w:rPr>
        <w:t>4</w:t>
      </w:r>
      <w:r>
        <w:rPr>
          <w:rFonts w:hint="eastAsia" w:ascii="黑体" w:eastAsia="黑体"/>
        </w:rPr>
        <w:t xml:space="preserve">  要求</w:t>
      </w:r>
    </w:p>
    <w:p>
      <w:pPr>
        <w:pStyle w:val="62"/>
        <w:spacing w:beforeLines="50" w:afterLines="50"/>
        <w:rPr>
          <w:rFonts w:hAnsi="黑体"/>
          <w:szCs w:val="22"/>
        </w:rPr>
      </w:pPr>
      <w:r>
        <w:rPr>
          <w:rFonts w:hint="eastAsia" w:hAnsi="黑体"/>
          <w:szCs w:val="22"/>
          <w:lang w:val="en-US" w:eastAsia="zh-CN"/>
        </w:rPr>
        <w:t>4</w:t>
      </w:r>
      <w:r>
        <w:rPr>
          <w:rFonts w:hint="eastAsia" w:hAnsi="黑体"/>
          <w:szCs w:val="22"/>
        </w:rPr>
        <w:t>.1  原辅料</w:t>
      </w:r>
    </w:p>
    <w:p>
      <w:pPr>
        <w:pStyle w:val="55"/>
        <w:spacing w:beforeLines="50" w:afterLines="50"/>
        <w:ind w:firstLine="0" w:firstLineChars="0"/>
        <w:rPr>
          <w:rFonts w:hint="eastAsia" w:ascii="黑体" w:hAnsi="黑体" w:eastAsia="黑体"/>
          <w:szCs w:val="22"/>
          <w:lang w:eastAsia="zh-CN"/>
        </w:rPr>
      </w:pPr>
      <w:r>
        <w:rPr>
          <w:rFonts w:hint="eastAsia" w:ascii="黑体" w:hAnsi="黑体" w:eastAsia="黑体"/>
          <w:szCs w:val="22"/>
          <w:lang w:val="en-US" w:eastAsia="zh-CN"/>
        </w:rPr>
        <w:t>4</w:t>
      </w:r>
      <w:r>
        <w:rPr>
          <w:rFonts w:hint="eastAsia" w:ascii="黑体" w:hAnsi="黑体" w:eastAsia="黑体"/>
          <w:szCs w:val="22"/>
        </w:rPr>
        <w:t>.1.1  食用益生菌</w:t>
      </w:r>
      <w:r>
        <w:rPr>
          <w:rFonts w:hint="eastAsia" w:ascii="黑体" w:hAnsi="黑体" w:eastAsia="黑体"/>
          <w:szCs w:val="22"/>
          <w:lang w:eastAsia="zh-CN"/>
        </w:rPr>
        <w:t>（</w:t>
      </w:r>
      <w:r>
        <w:rPr>
          <w:rFonts w:hint="eastAsia" w:ascii="黑体" w:hAnsi="黑体" w:eastAsia="黑体"/>
          <w:szCs w:val="22"/>
        </w:rPr>
        <w:t>双歧杆菌属、乳杆菌属</w:t>
      </w:r>
      <w:r>
        <w:rPr>
          <w:rFonts w:hint="eastAsia" w:ascii="黑体" w:hAnsi="黑体" w:eastAsia="黑体"/>
          <w:szCs w:val="22"/>
          <w:lang w:eastAsia="zh-CN"/>
        </w:rPr>
        <w:t>）</w:t>
      </w:r>
    </w:p>
    <w:p>
      <w:pPr>
        <w:ind w:firstLine="420" w:firstLineChars="200"/>
        <w:rPr>
          <w:rFonts w:ascii="宋体" w:hAnsi="宋体" w:cs="宋体"/>
          <w:kern w:val="0"/>
          <w:sz w:val="24"/>
        </w:rPr>
      </w:pPr>
      <w:r>
        <w:rPr>
          <w:rFonts w:hint="eastAsia" w:asciiTheme="minorEastAsia" w:hAnsiTheme="minorEastAsia" w:eastAsiaTheme="minorEastAsia"/>
          <w:szCs w:val="21"/>
        </w:rPr>
        <w:t>应符合</w:t>
      </w:r>
      <w:r>
        <w:rPr>
          <w:rFonts w:cs="宋体" w:asciiTheme="minorEastAsia" w:hAnsiTheme="minorEastAsia" w:eastAsiaTheme="minorEastAsia"/>
          <w:kern w:val="0"/>
          <w:szCs w:val="21"/>
        </w:rPr>
        <w:t>卫生部办公厅关于印发《可用于食品的菌种名单》的通知（卫办监督发〔2010〕65号）</w:t>
      </w:r>
      <w:r>
        <w:rPr>
          <w:rFonts w:hint="eastAsia" w:ascii="宋体" w:hAnsi="宋体" w:cs="宋体"/>
          <w:kern w:val="0"/>
          <w:sz w:val="24"/>
        </w:rPr>
        <w:t>。</w:t>
      </w:r>
    </w:p>
    <w:p>
      <w:pPr>
        <w:pStyle w:val="55"/>
        <w:spacing w:beforeLines="50" w:afterLines="50"/>
        <w:ind w:firstLine="0" w:firstLineChars="0"/>
        <w:rPr>
          <w:rFonts w:ascii="黑体" w:hAnsi="黑体" w:eastAsia="黑体"/>
          <w:szCs w:val="22"/>
        </w:rPr>
      </w:pPr>
      <w:r>
        <w:rPr>
          <w:rFonts w:hint="eastAsia" w:ascii="黑体" w:hAnsi="黑体" w:eastAsia="黑体"/>
          <w:szCs w:val="22"/>
          <w:lang w:val="en-US" w:eastAsia="zh-CN"/>
        </w:rPr>
        <w:t>4</w:t>
      </w:r>
      <w:r>
        <w:rPr>
          <w:rFonts w:hint="eastAsia" w:ascii="黑体" w:hAnsi="黑体" w:eastAsia="黑体"/>
          <w:szCs w:val="22"/>
        </w:rPr>
        <w:t>.1.2  葵花籽油</w:t>
      </w:r>
    </w:p>
    <w:p>
      <w:pPr>
        <w:pStyle w:val="55"/>
        <w:spacing w:beforeLines="50" w:afterLines="50"/>
        <w:ind w:firstLine="420" w:firstLineChars="200"/>
        <w:rPr>
          <w:rFonts w:hint="eastAsia" w:hAnsi="宋体"/>
          <w:szCs w:val="22"/>
        </w:rPr>
      </w:pPr>
      <w:r>
        <w:rPr>
          <w:rFonts w:hint="eastAsia" w:hAnsi="宋体"/>
          <w:szCs w:val="22"/>
        </w:rPr>
        <w:t>应符合GB/T 10464</w:t>
      </w:r>
      <w:r>
        <w:rPr>
          <w:rFonts w:hint="eastAsia" w:hAnsi="宋体"/>
          <w:szCs w:val="22"/>
          <w:lang w:eastAsia="zh-CN"/>
        </w:rPr>
        <w:t>、</w:t>
      </w:r>
      <w:r>
        <w:rPr>
          <w:rFonts w:hint="eastAsia" w:asciiTheme="majorEastAsia" w:hAnsiTheme="majorEastAsia" w:eastAsiaTheme="majorEastAsia" w:cstheme="majorEastAsia"/>
          <w:szCs w:val="22"/>
        </w:rPr>
        <w:t>GB 2716</w:t>
      </w:r>
      <w:r>
        <w:rPr>
          <w:rFonts w:hint="eastAsia" w:asciiTheme="majorEastAsia" w:hAnsiTheme="majorEastAsia" w:eastAsiaTheme="majorEastAsia" w:cstheme="majorEastAsia"/>
          <w:szCs w:val="22"/>
          <w:lang w:val="en-US" w:eastAsia="zh-CN"/>
        </w:rPr>
        <w:t xml:space="preserve"> </w:t>
      </w:r>
      <w:r>
        <w:rPr>
          <w:rFonts w:hint="eastAsia" w:hAnsi="宋体"/>
          <w:szCs w:val="22"/>
        </w:rPr>
        <w:t>的规定。</w:t>
      </w:r>
    </w:p>
    <w:p>
      <w:pPr>
        <w:pStyle w:val="55"/>
        <w:spacing w:beforeLines="50" w:afterLines="50"/>
        <w:ind w:firstLine="0" w:firstLineChars="0"/>
        <w:rPr>
          <w:rFonts w:ascii="黑体" w:hAnsi="黑体" w:eastAsia="黑体"/>
          <w:szCs w:val="22"/>
        </w:rPr>
      </w:pPr>
      <w:r>
        <w:rPr>
          <w:rFonts w:hint="eastAsia" w:ascii="黑体" w:hAnsi="黑体" w:eastAsia="黑体"/>
          <w:szCs w:val="22"/>
          <w:lang w:val="en-US" w:eastAsia="zh-CN"/>
        </w:rPr>
        <w:t>4</w:t>
      </w:r>
      <w:r>
        <w:rPr>
          <w:rFonts w:hint="eastAsia" w:ascii="黑体" w:hAnsi="黑体" w:eastAsia="黑体"/>
          <w:szCs w:val="22"/>
        </w:rPr>
        <w:t>.1.</w:t>
      </w:r>
      <w:r>
        <w:rPr>
          <w:rFonts w:hint="eastAsia" w:ascii="黑体" w:hAnsi="黑体" w:eastAsia="黑体"/>
          <w:szCs w:val="22"/>
          <w:lang w:val="en-US" w:eastAsia="zh-CN"/>
        </w:rPr>
        <w:t>3</w:t>
      </w:r>
      <w:r>
        <w:rPr>
          <w:rFonts w:hint="eastAsia" w:ascii="黑体" w:hAnsi="黑体" w:eastAsia="黑体"/>
          <w:szCs w:val="22"/>
        </w:rPr>
        <w:t xml:space="preserve">  花生油</w:t>
      </w:r>
    </w:p>
    <w:p>
      <w:pPr>
        <w:pStyle w:val="55"/>
        <w:ind w:firstLine="420"/>
        <w:rPr>
          <w:rFonts w:hint="eastAsia" w:hAnsi="宋体"/>
          <w:szCs w:val="22"/>
        </w:rPr>
      </w:pPr>
      <w:r>
        <w:rPr>
          <w:rFonts w:hint="eastAsia" w:hAnsi="宋体"/>
          <w:szCs w:val="22"/>
        </w:rPr>
        <w:t>应符合</w:t>
      </w:r>
      <w:r>
        <w:rPr>
          <w:rFonts w:hint="eastAsia"/>
        </w:rPr>
        <w:t>GB/T 1534</w:t>
      </w:r>
      <w:r>
        <w:rPr>
          <w:rFonts w:hint="eastAsia"/>
          <w:lang w:eastAsia="zh-CN"/>
        </w:rPr>
        <w:t>、</w:t>
      </w:r>
      <w:r>
        <w:rPr>
          <w:rFonts w:hint="eastAsia" w:asciiTheme="majorEastAsia" w:hAnsiTheme="majorEastAsia" w:eastAsiaTheme="majorEastAsia" w:cstheme="majorEastAsia"/>
          <w:szCs w:val="22"/>
        </w:rPr>
        <w:t>GB 2716</w:t>
      </w:r>
      <w:r>
        <w:rPr>
          <w:rFonts w:hint="eastAsia"/>
        </w:rPr>
        <w:t xml:space="preserve"> </w:t>
      </w:r>
      <w:r>
        <w:rPr>
          <w:rFonts w:hint="eastAsia" w:hAnsi="宋体"/>
          <w:szCs w:val="22"/>
        </w:rPr>
        <w:t>的规定。</w:t>
      </w:r>
    </w:p>
    <w:p>
      <w:pPr>
        <w:pStyle w:val="55"/>
        <w:spacing w:beforeLines="50" w:afterLines="50"/>
        <w:ind w:firstLine="0" w:firstLineChars="0"/>
        <w:rPr>
          <w:rFonts w:hint="eastAsia" w:ascii="黑体" w:hAnsi="黑体" w:eastAsia="黑体"/>
          <w:szCs w:val="22"/>
        </w:rPr>
      </w:pPr>
      <w:r>
        <w:rPr>
          <w:rFonts w:hint="eastAsia" w:ascii="黑体" w:hAnsi="黑体" w:eastAsia="黑体"/>
          <w:szCs w:val="22"/>
          <w:lang w:val="en-US" w:eastAsia="zh-CN"/>
        </w:rPr>
        <w:t>4</w:t>
      </w:r>
      <w:r>
        <w:rPr>
          <w:rFonts w:hint="eastAsia" w:ascii="黑体" w:hAnsi="黑体" w:eastAsia="黑体"/>
          <w:szCs w:val="22"/>
        </w:rPr>
        <w:t>.1.</w:t>
      </w:r>
      <w:r>
        <w:rPr>
          <w:rFonts w:hint="eastAsia" w:ascii="黑体" w:hAnsi="黑体" w:eastAsia="黑体"/>
          <w:szCs w:val="22"/>
          <w:lang w:val="en-US" w:eastAsia="zh-CN"/>
        </w:rPr>
        <w:t>4</w:t>
      </w:r>
      <w:r>
        <w:rPr>
          <w:rFonts w:hint="eastAsia" w:ascii="黑体" w:hAnsi="黑体" w:eastAsia="黑体"/>
          <w:szCs w:val="22"/>
        </w:rPr>
        <w:t xml:space="preserve">  橄榄油</w:t>
      </w:r>
    </w:p>
    <w:p>
      <w:pPr>
        <w:pStyle w:val="55"/>
        <w:spacing w:beforeLines="50" w:afterLines="50"/>
        <w:ind w:firstLine="420" w:firstLineChars="200"/>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应符合GB/T 10464</w:t>
      </w:r>
      <w:r>
        <w:rPr>
          <w:rFonts w:hint="eastAsia" w:asciiTheme="majorEastAsia" w:hAnsiTheme="majorEastAsia" w:eastAsiaTheme="majorEastAsia" w:cstheme="majorEastAsia"/>
          <w:szCs w:val="22"/>
          <w:lang w:eastAsia="zh-CN"/>
        </w:rPr>
        <w:t>、</w:t>
      </w:r>
      <w:r>
        <w:rPr>
          <w:rFonts w:hint="eastAsia" w:asciiTheme="majorEastAsia" w:hAnsiTheme="majorEastAsia" w:eastAsiaTheme="majorEastAsia" w:cstheme="majorEastAsia"/>
          <w:szCs w:val="22"/>
        </w:rPr>
        <w:t>GB 2716</w:t>
      </w:r>
      <w:r>
        <w:rPr>
          <w:rFonts w:hint="eastAsia" w:asciiTheme="majorEastAsia" w:hAnsiTheme="majorEastAsia" w:eastAsiaTheme="majorEastAsia" w:cstheme="majorEastAsia"/>
          <w:szCs w:val="22"/>
          <w:lang w:val="en-US" w:eastAsia="zh-CN"/>
        </w:rPr>
        <w:t xml:space="preserve"> </w:t>
      </w:r>
      <w:r>
        <w:rPr>
          <w:rFonts w:hint="eastAsia" w:asciiTheme="majorEastAsia" w:hAnsiTheme="majorEastAsia" w:eastAsiaTheme="majorEastAsia" w:cstheme="majorEastAsia"/>
          <w:szCs w:val="22"/>
        </w:rPr>
        <w:t>的规定。</w:t>
      </w:r>
    </w:p>
    <w:p>
      <w:pPr>
        <w:pStyle w:val="55"/>
        <w:spacing w:beforeLines="50" w:afterLines="50"/>
        <w:ind w:firstLine="0" w:firstLineChars="0"/>
        <w:rPr>
          <w:rFonts w:hint="eastAsia" w:ascii="黑体" w:hAnsi="黑体" w:eastAsia="黑体"/>
          <w:szCs w:val="22"/>
        </w:rPr>
      </w:pPr>
      <w:r>
        <w:rPr>
          <w:rFonts w:hint="eastAsia" w:ascii="黑体" w:hAnsi="黑体" w:eastAsia="黑体"/>
          <w:szCs w:val="22"/>
          <w:lang w:val="en-US" w:eastAsia="zh-CN"/>
        </w:rPr>
        <w:t>4</w:t>
      </w:r>
      <w:r>
        <w:rPr>
          <w:rFonts w:hint="eastAsia" w:ascii="黑体" w:hAnsi="黑体" w:eastAsia="黑体"/>
          <w:szCs w:val="22"/>
        </w:rPr>
        <w:t>.1.</w:t>
      </w:r>
      <w:r>
        <w:rPr>
          <w:rFonts w:hint="eastAsia" w:ascii="黑体" w:hAnsi="黑体" w:eastAsia="黑体"/>
          <w:szCs w:val="22"/>
          <w:lang w:val="en-US" w:eastAsia="zh-CN"/>
        </w:rPr>
        <w:t>5</w:t>
      </w:r>
      <w:r>
        <w:rPr>
          <w:rFonts w:hint="eastAsia" w:ascii="黑体" w:hAnsi="黑体" w:eastAsia="黑体"/>
          <w:szCs w:val="22"/>
        </w:rPr>
        <w:t xml:space="preserve">  </w:t>
      </w:r>
      <w:r>
        <w:rPr>
          <w:rFonts w:hint="eastAsia" w:ascii="黑体" w:hAnsi="黑体" w:eastAsia="黑体"/>
          <w:szCs w:val="22"/>
          <w:lang w:val="en-US" w:eastAsia="zh-CN"/>
        </w:rPr>
        <w:t>其他</w:t>
      </w:r>
      <w:r>
        <w:rPr>
          <w:rFonts w:hint="eastAsia" w:ascii="黑体" w:hAnsi="黑体" w:eastAsia="黑体"/>
          <w:szCs w:val="22"/>
        </w:rPr>
        <w:t>食用植物油</w:t>
      </w:r>
    </w:p>
    <w:p>
      <w:pPr>
        <w:pStyle w:val="55"/>
        <w:spacing w:beforeLines="50" w:afterLines="50"/>
        <w:ind w:firstLine="420" w:firstLineChars="200"/>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应符合GB 2716</w:t>
      </w:r>
      <w:r>
        <w:rPr>
          <w:rFonts w:hint="eastAsia" w:asciiTheme="majorEastAsia" w:hAnsiTheme="majorEastAsia" w:eastAsiaTheme="majorEastAsia" w:cstheme="majorEastAsia"/>
          <w:szCs w:val="22"/>
          <w:lang w:val="en-US" w:eastAsia="zh-CN"/>
        </w:rPr>
        <w:t xml:space="preserve"> </w:t>
      </w:r>
      <w:r>
        <w:rPr>
          <w:rFonts w:hint="eastAsia" w:asciiTheme="majorEastAsia" w:hAnsiTheme="majorEastAsia" w:eastAsiaTheme="majorEastAsia" w:cstheme="majorEastAsia"/>
          <w:szCs w:val="22"/>
        </w:rPr>
        <w:t>的规定。</w:t>
      </w:r>
    </w:p>
    <w:p>
      <w:pPr>
        <w:pStyle w:val="55"/>
        <w:spacing w:beforeLines="50" w:afterLines="50"/>
        <w:ind w:firstLine="0" w:firstLineChars="0"/>
        <w:rPr>
          <w:rFonts w:ascii="黑体" w:hAnsi="黑体" w:eastAsia="黑体"/>
          <w:color w:val="auto"/>
          <w:szCs w:val="22"/>
        </w:rPr>
      </w:pPr>
      <w:r>
        <w:rPr>
          <w:rFonts w:hint="eastAsia" w:ascii="黑体" w:hAnsi="黑体" w:eastAsia="黑体"/>
          <w:color w:val="auto"/>
          <w:szCs w:val="22"/>
          <w:lang w:val="en-US" w:eastAsia="zh-CN"/>
        </w:rPr>
        <w:t>4</w:t>
      </w:r>
      <w:r>
        <w:rPr>
          <w:rFonts w:hint="eastAsia" w:ascii="黑体" w:hAnsi="黑体" w:eastAsia="黑体"/>
          <w:color w:val="auto"/>
          <w:szCs w:val="22"/>
        </w:rPr>
        <w:t>.1.</w:t>
      </w:r>
      <w:r>
        <w:rPr>
          <w:rFonts w:hint="eastAsia" w:ascii="黑体" w:hAnsi="黑体" w:eastAsia="黑体"/>
          <w:color w:val="auto"/>
          <w:szCs w:val="22"/>
          <w:lang w:val="en-US" w:eastAsia="zh-CN"/>
        </w:rPr>
        <w:t>6</w:t>
      </w:r>
      <w:r>
        <w:rPr>
          <w:rFonts w:hint="eastAsia" w:ascii="黑体" w:hAnsi="黑体" w:eastAsia="黑体"/>
          <w:color w:val="auto"/>
          <w:szCs w:val="22"/>
        </w:rPr>
        <w:t xml:space="preserve">  </w:t>
      </w:r>
      <w:r>
        <w:rPr>
          <w:rFonts w:hint="eastAsia" w:ascii="黑体" w:hAnsi="黑体" w:eastAsia="黑体"/>
          <w:color w:val="auto"/>
          <w:szCs w:val="22"/>
          <w:lang w:val="en-US" w:eastAsia="zh-CN"/>
        </w:rPr>
        <w:t>DHA藻油</w:t>
      </w:r>
    </w:p>
    <w:p>
      <w:pPr>
        <w:pStyle w:val="55"/>
        <w:ind w:firstLine="420"/>
        <w:rPr>
          <w:rFonts w:hint="eastAsia" w:ascii="宋体" w:hAnsi="Times New Roman" w:eastAsia="宋体" w:cs="Times New Roman"/>
          <w:b w:val="0"/>
          <w:bCs w:val="0"/>
          <w:color w:val="auto"/>
          <w:kern w:val="0"/>
          <w:sz w:val="21"/>
          <w:szCs w:val="20"/>
          <w:lang w:val="en-US" w:eastAsia="zh-CN" w:bidi="ar-SA"/>
        </w:rPr>
      </w:pPr>
      <w:r>
        <w:rPr>
          <w:rFonts w:hint="eastAsia" w:asciiTheme="minorEastAsia" w:hAnsiTheme="minorEastAsia" w:eastAsiaTheme="minorEastAsia"/>
          <w:color w:val="auto"/>
          <w:sz w:val="21"/>
          <w:szCs w:val="21"/>
        </w:rPr>
        <w:t>应符合</w:t>
      </w:r>
      <w:r>
        <w:rPr>
          <w:rFonts w:hint="eastAsia" w:ascii="宋体" w:hAnsi="Times New Roman" w:eastAsia="宋体" w:cs="Times New Roman"/>
          <w:b w:val="0"/>
          <w:bCs w:val="0"/>
          <w:color w:val="auto"/>
          <w:kern w:val="0"/>
          <w:sz w:val="21"/>
          <w:szCs w:val="20"/>
          <w:lang w:val="en-US" w:eastAsia="zh-CN" w:bidi="ar-SA"/>
        </w:rPr>
        <w:t>关于批准</w:t>
      </w:r>
      <w:r>
        <w:rPr>
          <w:rFonts w:hint="eastAsia" w:cs="Times New Roman"/>
          <w:b w:val="0"/>
          <w:bCs w:val="0"/>
          <w:color w:val="auto"/>
          <w:kern w:val="0"/>
          <w:sz w:val="21"/>
          <w:szCs w:val="20"/>
          <w:lang w:val="en-US" w:eastAsia="zh-CN" w:bidi="ar-SA"/>
        </w:rPr>
        <w:t xml:space="preserve"> </w:t>
      </w:r>
      <w:r>
        <w:rPr>
          <w:rFonts w:hint="eastAsia" w:ascii="宋体" w:hAnsi="Times New Roman" w:eastAsia="宋体" w:cs="Times New Roman"/>
          <w:b w:val="0"/>
          <w:bCs w:val="0"/>
          <w:color w:val="auto"/>
          <w:kern w:val="0"/>
          <w:sz w:val="21"/>
          <w:szCs w:val="20"/>
          <w:lang w:val="en-US" w:eastAsia="zh-CN" w:bidi="ar-SA"/>
        </w:rPr>
        <w:t>DHA</w:t>
      </w:r>
      <w:r>
        <w:rPr>
          <w:rFonts w:hint="eastAsia" w:cs="Times New Roman"/>
          <w:b w:val="0"/>
          <w:bCs w:val="0"/>
          <w:color w:val="auto"/>
          <w:kern w:val="0"/>
          <w:sz w:val="21"/>
          <w:szCs w:val="20"/>
          <w:lang w:val="en-US" w:eastAsia="zh-CN" w:bidi="ar-SA"/>
        </w:rPr>
        <w:t xml:space="preserve"> </w:t>
      </w:r>
      <w:r>
        <w:rPr>
          <w:rFonts w:hint="eastAsia" w:ascii="宋体" w:hAnsi="Times New Roman" w:eastAsia="宋体" w:cs="Times New Roman"/>
          <w:b w:val="0"/>
          <w:bCs w:val="0"/>
          <w:color w:val="auto"/>
          <w:kern w:val="0"/>
          <w:sz w:val="21"/>
          <w:szCs w:val="20"/>
          <w:lang w:val="en-US" w:eastAsia="zh-CN" w:bidi="ar-SA"/>
        </w:rPr>
        <w:t>藻油、棉籽低聚糖等7种物品为新资源食品及其他相关规定的公告(卫生部公告2010年第3号)</w:t>
      </w:r>
      <w:r>
        <w:rPr>
          <w:rFonts w:hint="eastAsia" w:cs="Times New Roman"/>
          <w:b w:val="0"/>
          <w:bCs w:val="0"/>
          <w:color w:val="auto"/>
          <w:kern w:val="0"/>
          <w:sz w:val="21"/>
          <w:szCs w:val="20"/>
          <w:lang w:val="en-US" w:eastAsia="zh-CN" w:bidi="ar-SA"/>
        </w:rPr>
        <w:t>。</w:t>
      </w:r>
    </w:p>
    <w:p>
      <w:pPr>
        <w:pStyle w:val="55"/>
        <w:spacing w:beforeLines="50" w:afterLines="50"/>
        <w:ind w:firstLine="0" w:firstLineChars="0"/>
        <w:rPr>
          <w:rFonts w:ascii="黑体" w:hAnsi="黑体" w:eastAsia="黑体"/>
          <w:color w:val="auto"/>
          <w:szCs w:val="22"/>
        </w:rPr>
      </w:pPr>
      <w:r>
        <w:rPr>
          <w:rFonts w:hint="eastAsia" w:ascii="黑体" w:hAnsi="黑体" w:eastAsia="黑体"/>
          <w:color w:val="auto"/>
          <w:szCs w:val="22"/>
          <w:lang w:val="en-US" w:eastAsia="zh-CN"/>
        </w:rPr>
        <w:t>4</w:t>
      </w:r>
      <w:r>
        <w:rPr>
          <w:rFonts w:hint="eastAsia" w:ascii="黑体" w:hAnsi="黑体" w:eastAsia="黑体"/>
          <w:color w:val="auto"/>
          <w:szCs w:val="22"/>
        </w:rPr>
        <w:t>.1.</w:t>
      </w:r>
      <w:r>
        <w:rPr>
          <w:rFonts w:hint="eastAsia" w:ascii="黑体" w:hAnsi="黑体" w:eastAsia="黑体"/>
          <w:color w:val="auto"/>
          <w:szCs w:val="22"/>
          <w:lang w:val="en-US" w:eastAsia="zh-CN"/>
        </w:rPr>
        <w:t>7</w:t>
      </w:r>
      <w:r>
        <w:rPr>
          <w:rFonts w:hint="eastAsia" w:ascii="黑体" w:hAnsi="黑体" w:eastAsia="黑体"/>
          <w:color w:val="auto"/>
          <w:szCs w:val="22"/>
        </w:rPr>
        <w:t xml:space="preserve">  </w:t>
      </w:r>
      <w:r>
        <w:rPr>
          <w:rFonts w:hint="eastAsia" w:ascii="黑体" w:hAnsi="黑体" w:eastAsia="黑体"/>
          <w:color w:val="auto"/>
          <w:szCs w:val="22"/>
          <w:lang w:val="en-US" w:eastAsia="zh-CN"/>
        </w:rPr>
        <w:t>菊粉</w:t>
      </w:r>
    </w:p>
    <w:p>
      <w:pPr>
        <w:pStyle w:val="126"/>
        <w:shd w:val="clear" w:color="auto" w:fill="auto"/>
        <w:spacing w:before="0" w:after="0" w:line="320" w:lineRule="exact"/>
        <w:ind w:firstLine="420" w:firstLineChars="200"/>
        <w:rPr>
          <w:rFonts w:cs="Times New Roman"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应符合</w:t>
      </w:r>
      <w:r>
        <w:rPr>
          <w:rFonts w:hint="eastAsia" w:ascii="宋体" w:hAnsi="Times New Roman" w:eastAsia="宋体" w:cs="Times New Roman"/>
          <w:b w:val="0"/>
          <w:bCs w:val="0"/>
          <w:color w:val="auto"/>
          <w:kern w:val="0"/>
          <w:sz w:val="21"/>
          <w:szCs w:val="20"/>
          <w:lang w:val="en-US" w:eastAsia="zh-CN" w:bidi="ar-SA"/>
        </w:rPr>
        <w:t>卫生部关于批准菊粉、多聚果糖为新资源食品的公告（卫生部公告2009年第5号）</w:t>
      </w:r>
      <w:r>
        <w:rPr>
          <w:rFonts w:hint="eastAsia" w:cs="Times New Roman" w:asciiTheme="minorEastAsia" w:hAnsiTheme="minorEastAsia" w:eastAsiaTheme="minorEastAsia"/>
          <w:color w:val="auto"/>
          <w:sz w:val="21"/>
          <w:szCs w:val="21"/>
        </w:rPr>
        <w:t>。</w:t>
      </w:r>
    </w:p>
    <w:p>
      <w:pPr>
        <w:pStyle w:val="55"/>
        <w:spacing w:beforeLines="50" w:afterLines="50"/>
        <w:ind w:firstLine="0" w:firstLineChars="0"/>
        <w:rPr>
          <w:rFonts w:ascii="黑体" w:hAnsi="黑体" w:eastAsia="黑体"/>
          <w:color w:val="auto"/>
          <w:szCs w:val="22"/>
        </w:rPr>
      </w:pPr>
      <w:r>
        <w:rPr>
          <w:rFonts w:hint="eastAsia" w:ascii="黑体" w:hAnsi="黑体" w:eastAsia="黑体"/>
          <w:color w:val="auto"/>
          <w:szCs w:val="22"/>
          <w:lang w:val="en-US" w:eastAsia="zh-CN"/>
        </w:rPr>
        <w:t>4</w:t>
      </w:r>
      <w:r>
        <w:rPr>
          <w:rFonts w:hint="eastAsia" w:ascii="黑体" w:hAnsi="黑体" w:eastAsia="黑体"/>
          <w:color w:val="auto"/>
          <w:szCs w:val="22"/>
        </w:rPr>
        <w:t>.1.</w:t>
      </w:r>
      <w:r>
        <w:rPr>
          <w:rFonts w:hint="eastAsia" w:ascii="黑体" w:hAnsi="黑体" w:eastAsia="黑体"/>
          <w:color w:val="auto"/>
          <w:szCs w:val="22"/>
          <w:lang w:val="en-US" w:eastAsia="zh-CN"/>
        </w:rPr>
        <w:t>8</w:t>
      </w:r>
      <w:r>
        <w:rPr>
          <w:rFonts w:hint="eastAsia" w:ascii="黑体" w:hAnsi="黑体" w:eastAsia="黑体"/>
          <w:color w:val="auto"/>
          <w:szCs w:val="22"/>
        </w:rPr>
        <w:t xml:space="preserve">  </w:t>
      </w:r>
      <w:r>
        <w:rPr>
          <w:rFonts w:hint="eastAsia" w:ascii="黑体" w:hAnsi="黑体" w:eastAsia="黑体"/>
          <w:color w:val="auto"/>
          <w:szCs w:val="22"/>
          <w:lang w:val="en-US" w:eastAsia="zh-CN"/>
        </w:rPr>
        <w:t>低聚半乳糖</w:t>
      </w:r>
    </w:p>
    <w:p>
      <w:pPr>
        <w:pStyle w:val="55"/>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auto"/>
          <w:sz w:val="21"/>
          <w:szCs w:val="21"/>
        </w:rPr>
        <w:t>应符合</w:t>
      </w:r>
      <w:r>
        <w:rPr>
          <w:rFonts w:hint="eastAsia" w:ascii="宋体" w:hAnsi="Times New Roman" w:eastAsia="宋体" w:cs="Times New Roman"/>
          <w:b w:val="0"/>
          <w:bCs w:val="0"/>
          <w:color w:val="auto"/>
          <w:kern w:val="0"/>
          <w:sz w:val="21"/>
          <w:szCs w:val="20"/>
          <w:lang w:val="en-US" w:eastAsia="zh-CN" w:bidi="ar-SA"/>
        </w:rPr>
        <w:t>卫生部关于批准低聚半乳糖等新资源食品</w:t>
      </w:r>
      <w:r>
        <w:rPr>
          <w:rFonts w:hint="eastAsia" w:ascii="宋体" w:hAnsi="Times New Roman" w:eastAsia="宋体" w:cs="Times New Roman"/>
          <w:b w:val="0"/>
          <w:bCs w:val="0"/>
          <w:kern w:val="0"/>
          <w:sz w:val="21"/>
          <w:szCs w:val="20"/>
          <w:lang w:val="en-US" w:eastAsia="zh-CN" w:bidi="ar-SA"/>
        </w:rPr>
        <w:t>的公告(卫生部公告2008年第20号)</w:t>
      </w:r>
      <w:r>
        <w:rPr>
          <w:rFonts w:hint="eastAsia" w:cs="Times New Roman" w:asciiTheme="minorEastAsia" w:hAnsiTheme="minorEastAsia" w:eastAsiaTheme="minorEastAsia"/>
          <w:color w:val="000000" w:themeColor="text1"/>
          <w:sz w:val="21"/>
          <w:szCs w:val="21"/>
          <w14:textFill>
            <w14:solidFill>
              <w14:schemeClr w14:val="tx1"/>
            </w14:solidFill>
          </w14:textFill>
        </w:rPr>
        <w:t>。</w:t>
      </w:r>
    </w:p>
    <w:p>
      <w:pPr>
        <w:pStyle w:val="126"/>
        <w:shd w:val="clear" w:color="auto" w:fill="auto"/>
        <w:spacing w:before="0" w:after="0" w:line="320" w:lineRule="exact"/>
        <w:ind w:firstLine="420" w:firstLineChars="200"/>
        <w:rPr>
          <w:rFonts w:hint="eastAsia" w:cs="Times New Roman" w:asciiTheme="minorEastAsia" w:hAnsiTheme="minorEastAsia" w:eastAsiaTheme="minorEastAsia"/>
          <w:color w:val="FF0000"/>
          <w:sz w:val="21"/>
          <w:szCs w:val="21"/>
        </w:rPr>
      </w:pPr>
    </w:p>
    <w:bookmarkEnd w:id="4"/>
    <w:bookmarkEnd w:id="6"/>
    <w:p>
      <w:pPr>
        <w:pStyle w:val="55"/>
        <w:spacing w:beforeLines="50" w:afterLines="50"/>
        <w:ind w:firstLine="0" w:firstLineChars="0"/>
        <w:rPr>
          <w:rFonts w:hint="eastAsia" w:hAnsi="宋体" w:eastAsia="黑体"/>
          <w:color w:val="0070C0"/>
          <w:szCs w:val="22"/>
          <w:lang w:eastAsia="zh-CN"/>
        </w:rPr>
      </w:pPr>
      <w:r>
        <w:rPr>
          <w:rFonts w:hint="eastAsia" w:ascii="黑体" w:eastAsia="黑体"/>
          <w:szCs w:val="22"/>
          <w:lang w:val="en-US" w:eastAsia="zh-CN"/>
        </w:rPr>
        <w:t>4</w:t>
      </w:r>
      <w:r>
        <w:rPr>
          <w:rFonts w:hint="eastAsia" w:ascii="黑体" w:eastAsia="黑体"/>
          <w:szCs w:val="22"/>
        </w:rPr>
        <w:t>.2  感官</w:t>
      </w:r>
      <w:r>
        <w:rPr>
          <w:rFonts w:hint="eastAsia" w:ascii="黑体" w:eastAsia="黑体"/>
          <w:szCs w:val="22"/>
          <w:lang w:val="en-US" w:eastAsia="zh-CN"/>
        </w:rPr>
        <w:t>要求</w:t>
      </w:r>
    </w:p>
    <w:p>
      <w:pPr>
        <w:ind w:firstLine="420" w:firstLineChars="200"/>
        <w:rPr>
          <w:rFonts w:ascii="宋体"/>
          <w:kern w:val="0"/>
        </w:rPr>
      </w:pPr>
      <w:r>
        <w:rPr>
          <w:rFonts w:hint="eastAsia" w:ascii="宋体" w:hAnsi="宋体"/>
        </w:rPr>
        <w:t>应符合表1的规定</w:t>
      </w:r>
      <w:r>
        <w:rPr>
          <w:rFonts w:hint="eastAsia"/>
        </w:rPr>
        <w:t>。</w:t>
      </w:r>
    </w:p>
    <w:p>
      <w:pPr>
        <w:pStyle w:val="55"/>
        <w:spacing w:beforeLines="50" w:afterLines="50"/>
        <w:ind w:firstLine="0" w:firstLineChars="0"/>
        <w:jc w:val="center"/>
        <w:rPr>
          <w:rFonts w:hint="eastAsia" w:ascii="黑体" w:hAnsi="宋体" w:eastAsia="黑体"/>
        </w:rPr>
      </w:pPr>
    </w:p>
    <w:p>
      <w:pPr>
        <w:pStyle w:val="55"/>
        <w:spacing w:beforeLines="50" w:afterLines="50"/>
        <w:ind w:firstLine="0" w:firstLineChars="0"/>
        <w:jc w:val="center"/>
        <w:rPr>
          <w:rFonts w:hint="default" w:ascii="黑体" w:hAnsi="宋体" w:eastAsia="黑体"/>
          <w:lang w:val="en-US" w:eastAsia="zh-CN"/>
        </w:rPr>
      </w:pPr>
      <w:r>
        <w:rPr>
          <w:rFonts w:hint="eastAsia" w:ascii="黑体" w:hAnsi="宋体" w:eastAsia="黑体"/>
        </w:rPr>
        <w:t>表1</w:t>
      </w:r>
      <w:r>
        <w:rPr>
          <w:rFonts w:hint="eastAsia" w:ascii="黑体" w:hAnsi="宋体" w:eastAsia="黑体"/>
          <w:lang w:val="en-US" w:eastAsia="zh-CN"/>
        </w:rPr>
        <w:t xml:space="preserve"> 感官要求</w:t>
      </w:r>
    </w:p>
    <w:tbl>
      <w:tblPr>
        <w:tblStyle w:val="32"/>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457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7" w:type="dxa"/>
            <w:vAlign w:val="center"/>
          </w:tcPr>
          <w:p>
            <w:pPr>
              <w:jc w:val="center"/>
              <w:rPr>
                <w:rFonts w:ascii="宋体" w:hAnsi="宋体"/>
                <w:sz w:val="18"/>
                <w:szCs w:val="18"/>
              </w:rPr>
            </w:pPr>
            <w:r>
              <w:rPr>
                <w:rFonts w:hint="eastAsia" w:ascii="宋体" w:hAnsi="宋体"/>
                <w:sz w:val="18"/>
                <w:szCs w:val="18"/>
              </w:rPr>
              <w:t>项 目</w:t>
            </w:r>
          </w:p>
        </w:tc>
        <w:tc>
          <w:tcPr>
            <w:tcW w:w="4571" w:type="dxa"/>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要 求</w:t>
            </w:r>
          </w:p>
        </w:tc>
        <w:tc>
          <w:tcPr>
            <w:tcW w:w="3423" w:type="dxa"/>
            <w:vAlign w:val="center"/>
          </w:tcPr>
          <w:p>
            <w:pPr>
              <w:jc w:val="center"/>
              <w:rPr>
                <w:rFonts w:ascii="宋体" w:hAnsi="宋体"/>
                <w:sz w:val="18"/>
                <w:szCs w:val="18"/>
              </w:rPr>
            </w:pPr>
            <w:r>
              <w:rPr>
                <w:rFonts w:hint="eastAsia" w:ascii="宋体" w:hAnsi="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7" w:type="dxa"/>
            <w:vAlign w:val="center"/>
          </w:tcPr>
          <w:p>
            <w:pPr>
              <w:jc w:val="center"/>
              <w:rPr>
                <w:rFonts w:ascii="宋体" w:hAnsi="宋体"/>
                <w:sz w:val="18"/>
                <w:szCs w:val="18"/>
              </w:rPr>
            </w:pPr>
            <w:r>
              <w:rPr>
                <w:rFonts w:hint="eastAsia" w:ascii="宋体" w:hAnsi="宋体"/>
                <w:sz w:val="18"/>
                <w:szCs w:val="18"/>
              </w:rPr>
              <w:t>色 泽</w:t>
            </w:r>
          </w:p>
        </w:tc>
        <w:tc>
          <w:tcPr>
            <w:tcW w:w="4571" w:type="dxa"/>
            <w:vAlign w:val="center"/>
          </w:tcPr>
          <w:p>
            <w:pPr>
              <w:jc w:val="center"/>
              <w:rPr>
                <w:rFonts w:ascii="宋体" w:hAnsi="宋体"/>
                <w:sz w:val="18"/>
                <w:szCs w:val="18"/>
              </w:rPr>
            </w:pPr>
            <w:r>
              <w:rPr>
                <w:rFonts w:hint="eastAsia" w:ascii="宋体" w:hAnsi="宋体"/>
                <w:sz w:val="18"/>
                <w:szCs w:val="18"/>
              </w:rPr>
              <w:t>具有该产品应有的色泽</w:t>
            </w:r>
          </w:p>
        </w:tc>
        <w:tc>
          <w:tcPr>
            <w:tcW w:w="3423" w:type="dxa"/>
            <w:vMerge w:val="restart"/>
            <w:shd w:val="clear" w:color="auto" w:fill="auto"/>
            <w:vAlign w:val="center"/>
          </w:tcPr>
          <w:p>
            <w:pPr>
              <w:jc w:val="left"/>
              <w:rPr>
                <w:rFonts w:hint="default" w:ascii="宋体" w:hAnsi="宋体" w:eastAsia="宋体"/>
                <w:sz w:val="18"/>
                <w:szCs w:val="18"/>
                <w:lang w:val="en-US" w:eastAsia="zh-CN"/>
              </w:rPr>
            </w:pPr>
            <w:r>
              <w:rPr>
                <w:rFonts w:hint="eastAsia"/>
                <w:sz w:val="18"/>
                <w:szCs w:val="18"/>
              </w:rPr>
              <w:t>将适量样品置于干净的白色瓷盘中，在自然光线下观察色泽和状态，嗅其气味，检</w:t>
            </w:r>
            <w:r>
              <w:rPr>
                <w:rFonts w:hint="eastAsia"/>
                <w:sz w:val="18"/>
                <w:szCs w:val="18"/>
                <w:lang w:val="en-US" w:eastAsia="zh-CN"/>
              </w:rPr>
              <w:t xml:space="preserve">    </w:t>
            </w:r>
            <w:r>
              <w:rPr>
                <w:rFonts w:hint="eastAsia"/>
                <w:sz w:val="18"/>
                <w:szCs w:val="18"/>
              </w:rPr>
              <w:t>查有无杂质</w:t>
            </w:r>
            <w:r>
              <w:rPr>
                <w:rFonts w:hint="eastAsia"/>
                <w:sz w:val="18"/>
                <w:szCs w:val="18"/>
                <w:lang w:eastAsia="zh-CN"/>
              </w:rPr>
              <w:t>，</w:t>
            </w:r>
            <w:r>
              <w:rPr>
                <w:rFonts w:hint="eastAsia"/>
                <w:sz w:val="18"/>
                <w:szCs w:val="18"/>
                <w:lang w:val="en-US" w:eastAsia="zh-CN"/>
              </w:rPr>
              <w:t>温开水漱口后，品其滋味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07" w:type="dxa"/>
            <w:vAlign w:val="center"/>
          </w:tcPr>
          <w:p>
            <w:pPr>
              <w:jc w:val="center"/>
              <w:rPr>
                <w:rFonts w:ascii="宋体" w:hAnsi="宋体"/>
                <w:sz w:val="18"/>
                <w:szCs w:val="18"/>
              </w:rPr>
            </w:pPr>
            <w:r>
              <w:rPr>
                <w:rFonts w:hint="eastAsia" w:ascii="宋体" w:hAnsi="宋体"/>
                <w:kern w:val="0"/>
                <w:sz w:val="18"/>
                <w:szCs w:val="18"/>
              </w:rPr>
              <w:t>滋味与气味</w:t>
            </w:r>
          </w:p>
        </w:tc>
        <w:tc>
          <w:tcPr>
            <w:tcW w:w="4571" w:type="dxa"/>
            <w:vAlign w:val="center"/>
          </w:tcPr>
          <w:p>
            <w:pPr>
              <w:jc w:val="center"/>
              <w:rPr>
                <w:rFonts w:ascii="宋体" w:hAnsi="宋体"/>
                <w:sz w:val="18"/>
                <w:szCs w:val="18"/>
              </w:rPr>
            </w:pPr>
            <w:r>
              <w:rPr>
                <w:rFonts w:hint="eastAsia" w:ascii="宋体" w:hAnsi="宋体"/>
                <w:sz w:val="18"/>
                <w:szCs w:val="18"/>
              </w:rPr>
              <w:t>具有该产品固有的滋味和气味，无异味</w:t>
            </w:r>
          </w:p>
        </w:tc>
        <w:tc>
          <w:tcPr>
            <w:tcW w:w="3423" w:type="dxa"/>
            <w:vMerge w:val="continue"/>
            <w:tcBorders/>
            <w:shd w:val="clear" w:color="auto" w:fill="auto"/>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07" w:type="dxa"/>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状 态</w:t>
            </w:r>
          </w:p>
        </w:tc>
        <w:tc>
          <w:tcPr>
            <w:tcW w:w="4571" w:type="dxa"/>
            <w:vAlign w:val="center"/>
          </w:tcPr>
          <w:p>
            <w:pPr>
              <w:jc w:val="center"/>
              <w:rPr>
                <w:rFonts w:hint="default" w:ascii="宋体" w:hAnsi="宋体" w:eastAsia="宋体"/>
                <w:sz w:val="18"/>
                <w:szCs w:val="18"/>
                <w:lang w:val="en-US" w:eastAsia="zh-CN"/>
              </w:rPr>
            </w:pPr>
            <w:r>
              <w:rPr>
                <w:rFonts w:hint="eastAsia" w:ascii="宋体" w:hAnsi="宋体"/>
                <w:sz w:val="18"/>
                <w:szCs w:val="18"/>
              </w:rPr>
              <w:t>透明或半透明，允许有</w:t>
            </w:r>
            <w:r>
              <w:rPr>
                <w:rFonts w:hint="eastAsia" w:ascii="宋体" w:hAnsi="宋体"/>
                <w:sz w:val="18"/>
                <w:szCs w:val="18"/>
                <w:lang w:val="zh-CN"/>
              </w:rPr>
              <w:t>益生菌</w:t>
            </w:r>
            <w:r>
              <w:rPr>
                <w:rFonts w:hint="eastAsia" w:ascii="宋体" w:hAnsi="宋体"/>
                <w:sz w:val="18"/>
                <w:szCs w:val="18"/>
              </w:rPr>
              <w:t>粉</w:t>
            </w:r>
            <w:r>
              <w:rPr>
                <w:rFonts w:hint="eastAsia" w:ascii="宋体" w:hAnsi="宋体"/>
                <w:sz w:val="18"/>
                <w:szCs w:val="18"/>
                <w:lang w:val="en-US" w:eastAsia="zh-CN"/>
              </w:rPr>
              <w:t>沉淀</w:t>
            </w:r>
          </w:p>
        </w:tc>
        <w:tc>
          <w:tcPr>
            <w:tcW w:w="3423" w:type="dxa"/>
            <w:vMerge w:val="continue"/>
            <w:tcBorders/>
            <w:shd w:val="clear" w:color="auto" w:fill="auto"/>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07" w:type="dxa"/>
            <w:vAlign w:val="center"/>
          </w:tcPr>
          <w:p>
            <w:pPr>
              <w:jc w:val="center"/>
              <w:rPr>
                <w:rFonts w:hint="eastAsia" w:ascii="宋体" w:hAnsi="宋体"/>
                <w:sz w:val="18"/>
                <w:szCs w:val="18"/>
                <w:lang w:val="en-US" w:eastAsia="zh-CN"/>
              </w:rPr>
            </w:pPr>
            <w:bookmarkStart w:id="7" w:name="_Toc18022976"/>
            <w:bookmarkStart w:id="8" w:name="_Toc8915472"/>
            <w:bookmarkStart w:id="9" w:name="_Toc7192295"/>
            <w:bookmarkStart w:id="10" w:name="_Toc25192412"/>
            <w:bookmarkStart w:id="11" w:name="_Toc32682817"/>
            <w:bookmarkStart w:id="12" w:name="_Toc106812686"/>
            <w:bookmarkStart w:id="13" w:name="_Toc85889698"/>
            <w:bookmarkStart w:id="14" w:name="_Toc111122051"/>
            <w:bookmarkStart w:id="15" w:name="_Toc107108338"/>
            <w:bookmarkStart w:id="16" w:name="_Toc29824426"/>
            <w:bookmarkStart w:id="17" w:name="_Toc25206623"/>
            <w:bookmarkStart w:id="18" w:name="_Toc106812511"/>
            <w:bookmarkStart w:id="19" w:name="_Toc29737672"/>
            <w:bookmarkStart w:id="20" w:name="_Toc117776541"/>
            <w:r>
              <w:rPr>
                <w:rFonts w:hint="eastAsia"/>
                <w:sz w:val="18"/>
                <w:szCs w:val="18"/>
              </w:rPr>
              <w:t>杂</w:t>
            </w:r>
            <w:r>
              <w:rPr>
                <w:rFonts w:hint="eastAsia"/>
                <w:sz w:val="18"/>
                <w:szCs w:val="18"/>
                <w:lang w:val="en-US" w:eastAsia="zh-CN"/>
              </w:rPr>
              <w:t xml:space="preserve"> </w:t>
            </w:r>
            <w:r>
              <w:rPr>
                <w:rFonts w:hint="eastAsia"/>
                <w:sz w:val="18"/>
                <w:szCs w:val="18"/>
              </w:rPr>
              <w:t>质</w:t>
            </w:r>
          </w:p>
        </w:tc>
        <w:tc>
          <w:tcPr>
            <w:tcW w:w="4571" w:type="dxa"/>
            <w:vAlign w:val="center"/>
          </w:tcPr>
          <w:p>
            <w:pPr>
              <w:jc w:val="center"/>
              <w:rPr>
                <w:rFonts w:hint="eastAsia" w:ascii="宋体" w:hAnsi="宋体"/>
                <w:sz w:val="18"/>
                <w:szCs w:val="18"/>
              </w:rPr>
            </w:pPr>
            <w:r>
              <w:rPr>
                <w:rFonts w:hint="eastAsia"/>
                <w:sz w:val="18"/>
                <w:szCs w:val="18"/>
              </w:rPr>
              <w:t>无正常视力可见外来杂质</w:t>
            </w:r>
          </w:p>
        </w:tc>
        <w:tc>
          <w:tcPr>
            <w:tcW w:w="3423" w:type="dxa"/>
            <w:vMerge w:val="continue"/>
            <w:tcBorders/>
            <w:shd w:val="clear" w:color="auto" w:fill="auto"/>
          </w:tcPr>
          <w:p>
            <w:pPr>
              <w:jc w:val="left"/>
              <w:rPr>
                <w:rFonts w:ascii="宋体" w:hAnsi="宋体"/>
                <w:sz w:val="18"/>
                <w:szCs w:val="18"/>
              </w:rPr>
            </w:pPr>
          </w:p>
        </w:tc>
      </w:tr>
    </w:tbl>
    <w:p>
      <w:pPr>
        <w:pStyle w:val="62"/>
        <w:spacing w:beforeLines="50" w:afterLines="50"/>
      </w:pPr>
      <w:r>
        <w:rPr>
          <w:rFonts w:hint="eastAsia"/>
          <w:lang w:val="en-US" w:eastAsia="zh-CN"/>
        </w:rPr>
        <w:t>4</w:t>
      </w:r>
      <w:r>
        <w:rPr>
          <w:rFonts w:hint="eastAsia"/>
        </w:rPr>
        <w:t>.3  理化</w:t>
      </w:r>
      <w:bookmarkEnd w:id="7"/>
      <w:bookmarkEnd w:id="8"/>
      <w:bookmarkEnd w:id="9"/>
      <w:r>
        <w:rPr>
          <w:rFonts w:hint="eastAsia"/>
        </w:rPr>
        <w:t>指标</w:t>
      </w:r>
      <w:bookmarkEnd w:id="10"/>
      <w:bookmarkEnd w:id="11"/>
      <w:bookmarkEnd w:id="12"/>
      <w:bookmarkEnd w:id="13"/>
      <w:bookmarkEnd w:id="14"/>
      <w:bookmarkEnd w:id="15"/>
      <w:bookmarkEnd w:id="16"/>
      <w:bookmarkEnd w:id="17"/>
      <w:bookmarkEnd w:id="18"/>
      <w:bookmarkEnd w:id="19"/>
      <w:bookmarkEnd w:id="20"/>
    </w:p>
    <w:p>
      <w:pPr>
        <w:pStyle w:val="55"/>
        <w:ind w:firstLine="420"/>
      </w:pPr>
      <w:r>
        <w:rPr>
          <w:rFonts w:hint="eastAsia"/>
        </w:rPr>
        <w:t>应符合表2的规定。</w:t>
      </w:r>
    </w:p>
    <w:p>
      <w:pPr>
        <w:pStyle w:val="55"/>
        <w:spacing w:beforeLines="50" w:afterLines="50"/>
        <w:ind w:firstLine="0" w:firstLineChars="0"/>
        <w:jc w:val="center"/>
        <w:rPr>
          <w:rFonts w:hint="default" w:ascii="黑体" w:hAnsi="宋体" w:eastAsia="黑体"/>
          <w:lang w:val="en-US" w:eastAsia="zh-CN"/>
        </w:rPr>
      </w:pPr>
      <w:r>
        <w:rPr>
          <w:rFonts w:hint="eastAsia" w:ascii="黑体" w:hAnsi="宋体" w:eastAsia="黑体"/>
        </w:rPr>
        <w:t>表2</w:t>
      </w:r>
      <w:r>
        <w:rPr>
          <w:rFonts w:hint="eastAsia" w:ascii="黑体" w:hAnsi="宋体" w:eastAsia="黑体"/>
          <w:lang w:val="en-US" w:eastAsia="zh-CN"/>
        </w:rPr>
        <w:t xml:space="preserve"> 理化指标</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8"/>
        <w:gridCol w:w="2783"/>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0" w:type="dxa"/>
            <w:vAlign w:val="center"/>
          </w:tcPr>
          <w:p>
            <w:pPr>
              <w:jc w:val="center"/>
              <w:rPr>
                <w:sz w:val="18"/>
                <w:szCs w:val="18"/>
              </w:rPr>
            </w:pPr>
            <w:r>
              <w:rPr>
                <w:rFonts w:hint="eastAsia"/>
                <w:sz w:val="18"/>
                <w:szCs w:val="18"/>
              </w:rPr>
              <w:t>项  目</w:t>
            </w:r>
          </w:p>
        </w:tc>
        <w:tc>
          <w:tcPr>
            <w:tcW w:w="2853" w:type="dxa"/>
            <w:vAlign w:val="center"/>
          </w:tcPr>
          <w:p>
            <w:pPr>
              <w:jc w:val="center"/>
              <w:rPr>
                <w:sz w:val="18"/>
                <w:szCs w:val="18"/>
              </w:rPr>
            </w:pPr>
            <w:r>
              <w:rPr>
                <w:rFonts w:hint="eastAsia"/>
                <w:sz w:val="18"/>
                <w:szCs w:val="18"/>
              </w:rPr>
              <w:t>指 标</w:t>
            </w:r>
          </w:p>
        </w:tc>
        <w:tc>
          <w:tcPr>
            <w:tcW w:w="2675" w:type="dxa"/>
            <w:vAlign w:val="center"/>
          </w:tcPr>
          <w:p>
            <w:pPr>
              <w:jc w:val="center"/>
              <w:rPr>
                <w:sz w:val="18"/>
                <w:szCs w:val="18"/>
              </w:rPr>
            </w:pPr>
            <w:r>
              <w:rPr>
                <w:rFonts w:hint="eastAsia" w:ascii="宋体" w:hAnsi="宋体"/>
                <w:sz w:val="18"/>
                <w:szCs w:val="18"/>
              </w:rPr>
              <w:t>检</w:t>
            </w:r>
            <w:r>
              <w:rPr>
                <w:rFonts w:hint="eastAsia" w:ascii="宋体" w:hAnsi="宋体"/>
                <w:sz w:val="18"/>
                <w:szCs w:val="18"/>
                <w:lang w:val="en-US" w:eastAsia="zh-CN"/>
              </w:rPr>
              <w:t>验</w:t>
            </w:r>
            <w:r>
              <w:rPr>
                <w:rFonts w:hint="eastAsia"/>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870" w:type="dxa"/>
            <w:vAlign w:val="center"/>
          </w:tcPr>
          <w:p>
            <w:pPr>
              <w:pStyle w:val="55"/>
              <w:widowControl w:val="0"/>
              <w:ind w:firstLine="0" w:firstLineChars="0"/>
              <w:rPr>
                <w:rFonts w:hAnsi="宋体"/>
                <w:color w:val="000000"/>
                <w:sz w:val="18"/>
                <w:szCs w:val="18"/>
              </w:rPr>
            </w:pPr>
            <w:r>
              <w:rPr>
                <w:rFonts w:hint="eastAsia" w:hAnsi="宋体"/>
                <w:color w:val="000000"/>
                <w:sz w:val="18"/>
                <w:szCs w:val="18"/>
              </w:rPr>
              <w:t>水分及挥发物/（g/100</w:t>
            </w:r>
            <w:r>
              <w:rPr>
                <w:rFonts w:hint="eastAsia" w:hAnsi="宋体"/>
                <w:sz w:val="18"/>
                <w:szCs w:val="18"/>
              </w:rPr>
              <w:t>g</w:t>
            </w:r>
            <w:r>
              <w:rPr>
                <w:rFonts w:hAnsi="宋体"/>
                <w:color w:val="000000"/>
                <w:sz w:val="18"/>
                <w:szCs w:val="18"/>
              </w:rPr>
              <w:t>）</w:t>
            </w:r>
            <w:r>
              <w:rPr>
                <w:rFonts w:hint="eastAsia" w:hAnsi="宋体"/>
                <w:color w:val="000000"/>
                <w:sz w:val="18"/>
                <w:szCs w:val="18"/>
              </w:rPr>
              <w:t xml:space="preserve">                  </w:t>
            </w:r>
          </w:p>
        </w:tc>
        <w:tc>
          <w:tcPr>
            <w:tcW w:w="2853" w:type="dxa"/>
            <w:vAlign w:val="center"/>
          </w:tcPr>
          <w:p>
            <w:pPr>
              <w:pStyle w:val="55"/>
              <w:widowControl w:val="0"/>
              <w:ind w:firstLine="0" w:firstLineChars="0"/>
              <w:jc w:val="center"/>
              <w:rPr>
                <w:rFonts w:hAnsi="宋体"/>
                <w:color w:val="000000"/>
                <w:sz w:val="18"/>
                <w:szCs w:val="18"/>
              </w:rPr>
            </w:pPr>
            <w:r>
              <w:rPr>
                <w:rFonts w:hint="eastAsia" w:hAnsi="宋体"/>
                <w:sz w:val="18"/>
                <w:szCs w:val="18"/>
              </w:rPr>
              <w:t>≤</w:t>
            </w:r>
            <w:r>
              <w:rPr>
                <w:rFonts w:hint="eastAsia" w:hAnsi="宋体"/>
                <w:color w:val="000000"/>
                <w:sz w:val="18"/>
                <w:szCs w:val="18"/>
              </w:rPr>
              <w:t>1.0</w:t>
            </w:r>
          </w:p>
        </w:tc>
        <w:tc>
          <w:tcPr>
            <w:tcW w:w="2675" w:type="dxa"/>
            <w:vAlign w:val="center"/>
          </w:tcPr>
          <w:p>
            <w:pPr>
              <w:pStyle w:val="55"/>
              <w:widowControl w:val="0"/>
              <w:ind w:firstLine="0" w:firstLineChars="0"/>
              <w:jc w:val="center"/>
              <w:rPr>
                <w:rFonts w:hAnsi="宋体"/>
                <w:sz w:val="18"/>
                <w:szCs w:val="18"/>
              </w:rPr>
            </w:pPr>
            <w:r>
              <w:rPr>
                <w:rFonts w:hint="eastAsia" w:hAnsi="宋体"/>
                <w:sz w:val="18"/>
                <w:szCs w:val="18"/>
              </w:rPr>
              <w:t>GB 5009.236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870" w:type="dxa"/>
            <w:vAlign w:val="center"/>
          </w:tcPr>
          <w:p>
            <w:pPr>
              <w:rPr>
                <w:rFonts w:ascii="宋体" w:hAnsi="宋体"/>
                <w:sz w:val="18"/>
                <w:szCs w:val="18"/>
              </w:rPr>
            </w:pPr>
            <w:r>
              <w:rPr>
                <w:rFonts w:hint="eastAsia" w:ascii="宋体" w:hAnsi="宋体"/>
                <w:sz w:val="18"/>
                <w:szCs w:val="18"/>
              </w:rPr>
              <w:t xml:space="preserve">酸价（以脂肪计）（KOH）/(mg/g)       </w:t>
            </w:r>
          </w:p>
        </w:tc>
        <w:tc>
          <w:tcPr>
            <w:tcW w:w="2853" w:type="dxa"/>
            <w:vAlign w:val="center"/>
          </w:tcPr>
          <w:p>
            <w:pPr>
              <w:jc w:val="center"/>
              <w:rPr>
                <w:rFonts w:ascii="宋体" w:hAnsi="宋体"/>
                <w:kern w:val="0"/>
                <w:sz w:val="18"/>
                <w:szCs w:val="18"/>
              </w:rPr>
            </w:pPr>
            <w:r>
              <w:rPr>
                <w:rFonts w:hint="eastAsia" w:ascii="宋体" w:hAnsi="宋体"/>
                <w:sz w:val="18"/>
                <w:szCs w:val="18"/>
              </w:rPr>
              <w:t>≤</w:t>
            </w:r>
            <w:r>
              <w:rPr>
                <w:rFonts w:hint="eastAsia" w:ascii="宋体" w:hAnsi="宋体"/>
                <w:kern w:val="0"/>
                <w:sz w:val="18"/>
                <w:szCs w:val="18"/>
              </w:rPr>
              <w:t>4.0</w:t>
            </w:r>
          </w:p>
        </w:tc>
        <w:tc>
          <w:tcPr>
            <w:tcW w:w="2675" w:type="dxa"/>
            <w:vAlign w:val="center"/>
          </w:tcPr>
          <w:p>
            <w:pPr>
              <w:jc w:val="center"/>
              <w:rPr>
                <w:rFonts w:ascii="宋体" w:hAnsi="宋体"/>
                <w:kern w:val="0"/>
                <w:sz w:val="18"/>
                <w:szCs w:val="18"/>
              </w:rPr>
            </w:pPr>
            <w:r>
              <w:rPr>
                <w:rFonts w:hint="eastAsia" w:ascii="宋体" w:hAnsi="宋体"/>
                <w:sz w:val="18"/>
                <w:szCs w:val="18"/>
              </w:rPr>
              <w:t>GB 5009.229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vAlign w:val="center"/>
          </w:tcPr>
          <w:p>
            <w:pPr>
              <w:rPr>
                <w:rFonts w:ascii="宋体" w:hAnsi="宋体"/>
                <w:sz w:val="18"/>
                <w:szCs w:val="18"/>
              </w:rPr>
            </w:pPr>
            <w:r>
              <w:rPr>
                <w:rFonts w:hint="eastAsia" w:ascii="宋体" w:hAnsi="宋体"/>
                <w:sz w:val="18"/>
                <w:szCs w:val="18"/>
              </w:rPr>
              <w:t xml:space="preserve">过氧化值（以脂肪计）/(g/100g)       </w:t>
            </w:r>
          </w:p>
        </w:tc>
        <w:tc>
          <w:tcPr>
            <w:tcW w:w="2853" w:type="dxa"/>
            <w:vAlign w:val="center"/>
          </w:tcPr>
          <w:p>
            <w:pPr>
              <w:jc w:val="center"/>
              <w:rPr>
                <w:rFonts w:ascii="宋体" w:hAnsi="宋体"/>
                <w:kern w:val="0"/>
                <w:sz w:val="18"/>
                <w:szCs w:val="18"/>
              </w:rPr>
            </w:pPr>
            <w:r>
              <w:rPr>
                <w:rFonts w:hint="eastAsia" w:ascii="宋体" w:hAnsi="宋体"/>
                <w:sz w:val="18"/>
                <w:szCs w:val="18"/>
              </w:rPr>
              <w:t>≤</w:t>
            </w:r>
            <w:r>
              <w:rPr>
                <w:rFonts w:hint="eastAsia" w:ascii="宋体" w:hAnsi="宋体"/>
                <w:kern w:val="0"/>
                <w:sz w:val="18"/>
                <w:szCs w:val="18"/>
              </w:rPr>
              <w:t>0.25</w:t>
            </w:r>
          </w:p>
        </w:tc>
        <w:tc>
          <w:tcPr>
            <w:tcW w:w="2675" w:type="dxa"/>
            <w:vAlign w:val="center"/>
          </w:tcPr>
          <w:p>
            <w:pPr>
              <w:jc w:val="center"/>
              <w:rPr>
                <w:rFonts w:ascii="宋体" w:hAnsi="宋体"/>
                <w:kern w:val="0"/>
                <w:sz w:val="18"/>
                <w:szCs w:val="18"/>
              </w:rPr>
            </w:pPr>
            <w:r>
              <w:rPr>
                <w:rFonts w:hint="eastAsia" w:ascii="宋体" w:hAnsi="宋体"/>
                <w:sz w:val="18"/>
                <w:szCs w:val="18"/>
              </w:rPr>
              <w:t>GB 5009.227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870" w:type="dxa"/>
            <w:vAlign w:val="center"/>
          </w:tcPr>
          <w:p>
            <w:pPr>
              <w:rPr>
                <w:rFonts w:ascii="宋体" w:hAnsi="宋体"/>
                <w:sz w:val="18"/>
                <w:szCs w:val="18"/>
              </w:rPr>
            </w:pPr>
            <w:r>
              <w:rPr>
                <w:rFonts w:hint="eastAsia" w:ascii="宋体" w:hAnsi="宋体"/>
                <w:sz w:val="18"/>
                <w:szCs w:val="18"/>
              </w:rPr>
              <w:t>总砷</w:t>
            </w:r>
            <w:r>
              <w:rPr>
                <w:rFonts w:hint="eastAsia" w:ascii="宋体" w:hAnsi="宋体"/>
                <w:bCs/>
                <w:iCs/>
                <w:sz w:val="18"/>
                <w:szCs w:val="18"/>
              </w:rPr>
              <w:t>(以As计)/(</w:t>
            </w:r>
            <w:r>
              <w:rPr>
                <w:rFonts w:hint="eastAsia" w:ascii="宋体" w:hAnsi="宋体"/>
                <w:sz w:val="18"/>
                <w:szCs w:val="18"/>
              </w:rPr>
              <w:t>mg/kg)</w:t>
            </w:r>
            <w:r>
              <w:rPr>
                <w:rFonts w:hint="eastAsia" w:ascii="宋体" w:hAnsi="宋体"/>
                <w:bCs/>
                <w:iCs/>
                <w:sz w:val="18"/>
                <w:szCs w:val="18"/>
              </w:rPr>
              <w:t xml:space="preserve">             </w:t>
            </w:r>
          </w:p>
        </w:tc>
        <w:tc>
          <w:tcPr>
            <w:tcW w:w="2853" w:type="dxa"/>
            <w:vAlign w:val="center"/>
          </w:tcPr>
          <w:p>
            <w:pPr>
              <w:pStyle w:val="55"/>
              <w:widowControl w:val="0"/>
              <w:ind w:firstLine="0" w:firstLineChars="0"/>
              <w:jc w:val="center"/>
              <w:rPr>
                <w:rFonts w:hAnsi="宋体"/>
                <w:color w:val="000000"/>
                <w:sz w:val="18"/>
                <w:szCs w:val="18"/>
              </w:rPr>
            </w:pPr>
            <w:r>
              <w:rPr>
                <w:rFonts w:hint="eastAsia" w:hAnsi="宋体"/>
                <w:bCs/>
                <w:iCs/>
                <w:sz w:val="18"/>
                <w:szCs w:val="18"/>
              </w:rPr>
              <w:t>≤</w:t>
            </w:r>
            <w:r>
              <w:rPr>
                <w:rFonts w:hint="eastAsia" w:hAnsi="宋体"/>
                <w:color w:val="000000"/>
                <w:sz w:val="18"/>
                <w:szCs w:val="18"/>
              </w:rPr>
              <w:t>0.1</w:t>
            </w:r>
          </w:p>
        </w:tc>
        <w:tc>
          <w:tcPr>
            <w:tcW w:w="2675" w:type="dxa"/>
            <w:vAlign w:val="center"/>
          </w:tcPr>
          <w:p>
            <w:pPr>
              <w:pStyle w:val="55"/>
              <w:widowControl w:val="0"/>
              <w:ind w:firstLine="0" w:firstLineChars="0"/>
              <w:jc w:val="center"/>
              <w:rPr>
                <w:rFonts w:hAnsi="宋体"/>
                <w:color w:val="000000"/>
                <w:sz w:val="18"/>
                <w:szCs w:val="18"/>
              </w:rPr>
            </w:pPr>
            <w:r>
              <w:rPr>
                <w:rFonts w:hint="eastAsia" w:hAnsi="宋体"/>
                <w:sz w:val="18"/>
                <w:szCs w:val="18"/>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870" w:type="dxa"/>
            <w:vAlign w:val="center"/>
          </w:tcPr>
          <w:p>
            <w:pPr>
              <w:rPr>
                <w:rFonts w:ascii="宋体" w:hAnsi="宋体"/>
                <w:sz w:val="18"/>
                <w:szCs w:val="18"/>
              </w:rPr>
            </w:pPr>
            <w:r>
              <w:rPr>
                <w:rFonts w:hint="eastAsia" w:ascii="宋体" w:hAnsi="宋体"/>
                <w:bCs/>
                <w:iCs/>
                <w:sz w:val="18"/>
                <w:szCs w:val="18"/>
              </w:rPr>
              <w:t>铅(以</w:t>
            </w:r>
            <w:r>
              <w:rPr>
                <w:rFonts w:ascii="宋体" w:hAnsi="宋体"/>
                <w:bCs/>
                <w:iCs/>
                <w:sz w:val="18"/>
                <w:szCs w:val="18"/>
              </w:rPr>
              <w:t>Pb</w:t>
            </w:r>
            <w:r>
              <w:rPr>
                <w:rFonts w:hint="eastAsia" w:ascii="宋体" w:hAnsi="宋体"/>
                <w:bCs/>
                <w:iCs/>
                <w:sz w:val="18"/>
                <w:szCs w:val="18"/>
              </w:rPr>
              <w:t>计)/(</w:t>
            </w:r>
            <w:r>
              <w:rPr>
                <w:rFonts w:hint="eastAsia" w:ascii="宋体" w:hAnsi="宋体"/>
                <w:sz w:val="18"/>
                <w:szCs w:val="18"/>
              </w:rPr>
              <w:t xml:space="preserve">mg/kg)　　             </w:t>
            </w:r>
          </w:p>
        </w:tc>
        <w:tc>
          <w:tcPr>
            <w:tcW w:w="2853" w:type="dxa"/>
            <w:vAlign w:val="center"/>
          </w:tcPr>
          <w:p>
            <w:pPr>
              <w:jc w:val="center"/>
              <w:rPr>
                <w:rFonts w:hAnsi="宋体"/>
                <w:color w:val="000000"/>
                <w:sz w:val="18"/>
                <w:szCs w:val="18"/>
              </w:rPr>
            </w:pPr>
            <w:r>
              <w:rPr>
                <w:rFonts w:hint="eastAsia" w:ascii="宋体" w:hAnsi="宋体"/>
                <w:sz w:val="18"/>
                <w:szCs w:val="18"/>
              </w:rPr>
              <w:t>≤0.1</w:t>
            </w:r>
          </w:p>
        </w:tc>
        <w:tc>
          <w:tcPr>
            <w:tcW w:w="2675" w:type="dxa"/>
            <w:vAlign w:val="center"/>
          </w:tcPr>
          <w:p>
            <w:pPr>
              <w:jc w:val="center"/>
              <w:rPr>
                <w:rFonts w:hAnsi="宋体"/>
                <w:sz w:val="18"/>
                <w:szCs w:val="18"/>
              </w:rPr>
            </w:pPr>
            <w:r>
              <w:rPr>
                <w:rFonts w:hint="eastAsia" w:ascii="宋体" w:hAnsi="宋体"/>
                <w:sz w:val="18"/>
                <w:szCs w:val="18"/>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70" w:type="dxa"/>
            <w:vAlign w:val="center"/>
          </w:tcPr>
          <w:p>
            <w:pPr>
              <w:rPr>
                <w:rFonts w:ascii="宋体" w:hAnsi="宋体"/>
                <w:sz w:val="18"/>
                <w:szCs w:val="18"/>
              </w:rPr>
            </w:pPr>
            <w:r>
              <w:rPr>
                <w:rFonts w:hint="eastAsia" w:ascii="宋体" w:hAnsi="宋体"/>
                <w:sz w:val="18"/>
                <w:szCs w:val="18"/>
              </w:rPr>
              <w:t>黄曲霉毒素B</w:t>
            </w:r>
            <w:r>
              <w:rPr>
                <w:rFonts w:hint="eastAsia" w:ascii="宋体" w:hAnsi="宋体"/>
                <w:sz w:val="18"/>
                <w:szCs w:val="18"/>
                <w:vertAlign w:val="subscript"/>
              </w:rPr>
              <w:t>1</w:t>
            </w:r>
            <w:r>
              <w:rPr>
                <w:rFonts w:hint="eastAsia" w:ascii="宋体" w:hAnsi="宋体"/>
                <w:sz w:val="18"/>
                <w:szCs w:val="18"/>
              </w:rPr>
              <w:t>/</w:t>
            </w:r>
            <w:r>
              <w:rPr>
                <w:rFonts w:hint="eastAsia" w:ascii="宋体" w:hAnsi="宋体"/>
                <w:bCs/>
                <w:iCs/>
                <w:sz w:val="18"/>
                <w:szCs w:val="18"/>
              </w:rPr>
              <w:t>(</w:t>
            </w:r>
            <w:r>
              <w:rPr>
                <w:rFonts w:hint="eastAsia" w:ascii="宋体" w:hAnsi="宋体"/>
                <w:sz w:val="18"/>
                <w:szCs w:val="18"/>
              </w:rPr>
              <w:t xml:space="preserve">μg/kg)             </w:t>
            </w:r>
          </w:p>
        </w:tc>
        <w:tc>
          <w:tcPr>
            <w:tcW w:w="2853" w:type="dxa"/>
            <w:vAlign w:val="center"/>
          </w:tcPr>
          <w:p>
            <w:pPr>
              <w:jc w:val="center"/>
              <w:rPr>
                <w:rFonts w:hint="default" w:hAnsi="宋体" w:eastAsia="宋体"/>
                <w:color w:val="000000"/>
                <w:sz w:val="18"/>
                <w:szCs w:val="18"/>
                <w:lang w:val="en-US" w:eastAsia="zh-CN"/>
              </w:rPr>
            </w:pPr>
            <w:r>
              <w:rPr>
                <w:rFonts w:hint="eastAsia" w:ascii="宋体" w:hAnsi="宋体"/>
                <w:sz w:val="18"/>
                <w:szCs w:val="18"/>
              </w:rPr>
              <w:t>≤</w:t>
            </w:r>
            <w:r>
              <w:rPr>
                <w:rFonts w:hint="eastAsia" w:ascii="宋体" w:hAnsi="宋体"/>
                <w:sz w:val="18"/>
                <w:szCs w:val="18"/>
                <w:lang w:val="en-US" w:eastAsia="zh-CN"/>
              </w:rPr>
              <w:t>10</w:t>
            </w:r>
          </w:p>
        </w:tc>
        <w:tc>
          <w:tcPr>
            <w:tcW w:w="2675" w:type="dxa"/>
            <w:vAlign w:val="center"/>
          </w:tcPr>
          <w:p>
            <w:pPr>
              <w:jc w:val="center"/>
              <w:rPr>
                <w:rFonts w:hAnsi="宋体"/>
                <w:sz w:val="18"/>
                <w:szCs w:val="18"/>
              </w:rPr>
            </w:pPr>
            <w:r>
              <w:rPr>
                <w:rFonts w:hint="eastAsia" w:ascii="宋体" w:hAnsi="宋体"/>
                <w:sz w:val="18"/>
                <w:szCs w:val="18"/>
              </w:rPr>
              <w:t>GB 5009.22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70" w:type="dxa"/>
            <w:vAlign w:val="center"/>
          </w:tcPr>
          <w:p>
            <w:pPr>
              <w:rPr>
                <w:rFonts w:ascii="宋体" w:hAnsi="宋体"/>
                <w:sz w:val="18"/>
                <w:szCs w:val="18"/>
              </w:rPr>
            </w:pPr>
            <w:r>
              <w:rPr>
                <w:rFonts w:hint="eastAsia" w:ascii="宋体" w:hAnsi="宋体"/>
                <w:sz w:val="18"/>
                <w:szCs w:val="18"/>
              </w:rPr>
              <w:t>苯并</w:t>
            </w:r>
            <w:r>
              <w:rPr>
                <w:rFonts w:ascii="宋体" w:hAnsi="宋体"/>
                <w:sz w:val="18"/>
                <w:szCs w:val="18"/>
              </w:rPr>
              <w:t>[a]</w:t>
            </w:r>
            <w:r>
              <w:rPr>
                <w:rFonts w:hint="eastAsia" w:ascii="宋体" w:hAnsi="宋体"/>
                <w:sz w:val="18"/>
                <w:szCs w:val="18"/>
              </w:rPr>
              <w:t>芘 /（</w:t>
            </w:r>
            <w:r>
              <w:rPr>
                <w:rFonts w:hint="eastAsia" w:ascii="宋体" w:hAnsi="宋体"/>
                <w:bCs/>
                <w:iCs/>
                <w:sz w:val="18"/>
                <w:szCs w:val="18"/>
              </w:rPr>
              <w:t>(</w:t>
            </w:r>
            <w:r>
              <w:rPr>
                <w:rFonts w:hint="eastAsia" w:ascii="宋体" w:hAnsi="宋体"/>
                <w:sz w:val="18"/>
                <w:szCs w:val="18"/>
              </w:rPr>
              <w:t xml:space="preserve">μg/kg)                          </w:t>
            </w:r>
          </w:p>
        </w:tc>
        <w:tc>
          <w:tcPr>
            <w:tcW w:w="2853" w:type="dxa"/>
            <w:vAlign w:val="center"/>
          </w:tcPr>
          <w:p>
            <w:pPr>
              <w:jc w:val="center"/>
              <w:rPr>
                <w:rFonts w:hint="eastAsia" w:hAnsi="宋体" w:eastAsia="宋体"/>
                <w:color w:val="000000"/>
                <w:sz w:val="18"/>
                <w:szCs w:val="18"/>
                <w:lang w:eastAsia="zh-CN"/>
              </w:rPr>
            </w:pPr>
            <w:r>
              <w:rPr>
                <w:rFonts w:hint="eastAsia" w:ascii="宋体" w:hAnsi="宋体"/>
                <w:sz w:val="18"/>
                <w:szCs w:val="18"/>
              </w:rPr>
              <w:t>≤</w:t>
            </w:r>
            <w:r>
              <w:rPr>
                <w:rFonts w:hint="eastAsia" w:ascii="宋体" w:hAnsi="宋体"/>
                <w:sz w:val="18"/>
                <w:szCs w:val="18"/>
                <w:lang w:val="en-US" w:eastAsia="zh-CN"/>
              </w:rPr>
              <w:t>9</w:t>
            </w:r>
          </w:p>
        </w:tc>
        <w:tc>
          <w:tcPr>
            <w:tcW w:w="2675" w:type="dxa"/>
            <w:vAlign w:val="center"/>
          </w:tcPr>
          <w:p>
            <w:pPr>
              <w:jc w:val="center"/>
              <w:rPr>
                <w:rFonts w:hAnsi="宋体"/>
                <w:sz w:val="18"/>
                <w:szCs w:val="18"/>
              </w:rPr>
            </w:pPr>
            <w:r>
              <w:rPr>
                <w:rFonts w:ascii="宋体" w:hAnsi="宋体"/>
                <w:sz w:val="18"/>
                <w:szCs w:val="18"/>
              </w:rPr>
              <w:t>GB 5009.27</w:t>
            </w:r>
          </w:p>
        </w:tc>
      </w:tr>
    </w:tbl>
    <w:p>
      <w:pPr>
        <w:pStyle w:val="62"/>
        <w:spacing w:beforeLines="50" w:afterLines="50"/>
      </w:pPr>
      <w:r>
        <w:rPr>
          <w:rFonts w:hint="eastAsia"/>
          <w:lang w:val="en-US" w:eastAsia="zh-CN"/>
        </w:rPr>
        <w:t>4</w:t>
      </w:r>
      <w:r>
        <w:rPr>
          <w:rFonts w:hint="eastAsia"/>
        </w:rPr>
        <w:t>.4  微生物指标</w:t>
      </w:r>
    </w:p>
    <w:p>
      <w:pPr>
        <w:pStyle w:val="55"/>
        <w:ind w:firstLine="420"/>
        <w:rPr>
          <w:rFonts w:hAnsi="宋体"/>
        </w:rPr>
      </w:pPr>
      <w:r>
        <w:rPr>
          <w:rFonts w:hint="eastAsia"/>
        </w:rPr>
        <w:t>应符合表3的规定。</w:t>
      </w:r>
    </w:p>
    <w:p>
      <w:pPr>
        <w:spacing w:beforeLines="50" w:afterLines="50"/>
        <w:jc w:val="center"/>
        <w:rPr>
          <w:rFonts w:hint="default" w:eastAsia="宋体"/>
          <w:lang w:val="en-US" w:eastAsia="zh-CN"/>
        </w:rPr>
      </w:pPr>
      <w:r>
        <w:rPr>
          <w:rFonts w:hint="eastAsia" w:ascii="黑体" w:hAnsi="宋体" w:eastAsia="黑体"/>
        </w:rPr>
        <w:t>表3</w:t>
      </w:r>
      <w:r>
        <w:t xml:space="preserve"> </w:t>
      </w:r>
      <w:r>
        <w:rPr>
          <w:rFonts w:hint="eastAsia"/>
          <w:lang w:val="en-US" w:eastAsia="zh-CN"/>
        </w:rPr>
        <w:t>微生物指标</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1"/>
        <w:gridCol w:w="2793"/>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844" w:type="dxa"/>
          </w:tcPr>
          <w:p>
            <w:pPr>
              <w:jc w:val="center"/>
              <w:rPr>
                <w:rFonts w:ascii="宋体" w:hAnsi="宋体"/>
                <w:sz w:val="18"/>
                <w:szCs w:val="18"/>
              </w:rPr>
            </w:pPr>
            <w:r>
              <w:rPr>
                <w:rFonts w:hint="eastAsia" w:ascii="宋体" w:hAnsi="宋体"/>
                <w:sz w:val="18"/>
                <w:szCs w:val="18"/>
              </w:rPr>
              <w:t>项  目</w:t>
            </w:r>
          </w:p>
        </w:tc>
        <w:tc>
          <w:tcPr>
            <w:tcW w:w="2853" w:type="dxa"/>
          </w:tcPr>
          <w:p>
            <w:pPr>
              <w:jc w:val="center"/>
              <w:rPr>
                <w:rFonts w:ascii="宋体" w:hAnsi="宋体"/>
                <w:sz w:val="18"/>
                <w:szCs w:val="18"/>
              </w:rPr>
            </w:pPr>
            <w:r>
              <w:rPr>
                <w:rFonts w:hint="eastAsia" w:ascii="宋体" w:hAnsi="宋体"/>
                <w:sz w:val="18"/>
                <w:szCs w:val="18"/>
              </w:rPr>
              <w:t>指标</w:t>
            </w:r>
          </w:p>
        </w:tc>
        <w:tc>
          <w:tcPr>
            <w:tcW w:w="2675" w:type="dxa"/>
          </w:tcPr>
          <w:p>
            <w:pPr>
              <w:jc w:val="center"/>
              <w:rPr>
                <w:rFonts w:ascii="宋体" w:hAnsi="宋体"/>
                <w:sz w:val="18"/>
                <w:szCs w:val="18"/>
              </w:rPr>
            </w:pPr>
            <w:r>
              <w:rPr>
                <w:rFonts w:hint="eastAsia" w:ascii="宋体" w:hAnsi="宋体"/>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844" w:type="dxa"/>
            <w:vAlign w:val="center"/>
          </w:tcPr>
          <w:p>
            <w:pPr>
              <w:rPr>
                <w:rFonts w:ascii="宋体" w:hAnsi="宋体"/>
                <w:sz w:val="18"/>
                <w:szCs w:val="18"/>
              </w:rPr>
            </w:pPr>
            <w:r>
              <w:rPr>
                <w:rFonts w:hint="eastAsia" w:ascii="宋体" w:hAnsi="宋体"/>
                <w:sz w:val="18"/>
                <w:szCs w:val="18"/>
              </w:rPr>
              <w:t>益生菌数（以乳酸菌数</w:t>
            </w:r>
            <w:r>
              <w:rPr>
                <w:rFonts w:hint="eastAsia" w:ascii="宋体" w:hAnsi="宋体"/>
                <w:sz w:val="18"/>
                <w:szCs w:val="18"/>
                <w:lang w:val="en-US" w:eastAsia="zh-CN"/>
              </w:rPr>
              <w:t>计</w:t>
            </w:r>
            <w:r>
              <w:rPr>
                <w:rFonts w:hint="eastAsia" w:ascii="宋体" w:hAnsi="宋体"/>
                <w:sz w:val="18"/>
                <w:szCs w:val="18"/>
              </w:rPr>
              <w:t xml:space="preserve">）/(CFU/g)                 </w:t>
            </w:r>
          </w:p>
        </w:tc>
        <w:tc>
          <w:tcPr>
            <w:tcW w:w="2853" w:type="dxa"/>
            <w:vAlign w:val="center"/>
          </w:tcPr>
          <w:p>
            <w:pPr>
              <w:jc w:val="center"/>
              <w:rPr>
                <w:rFonts w:ascii="宋体" w:hAnsi="宋体"/>
                <w:sz w:val="20"/>
                <w:szCs w:val="18"/>
                <w:vertAlign w:val="superscript"/>
              </w:rPr>
            </w:pPr>
            <w:r>
              <w:rPr>
                <w:rFonts w:hint="eastAsia" w:ascii="宋体" w:hAnsi="宋体"/>
                <w:sz w:val="18"/>
                <w:szCs w:val="18"/>
              </w:rPr>
              <w:t>≥10</w:t>
            </w:r>
            <w:r>
              <w:rPr>
                <w:rFonts w:hint="eastAsia" w:ascii="宋体" w:hAnsi="宋体"/>
                <w:sz w:val="18"/>
                <w:szCs w:val="18"/>
                <w:vertAlign w:val="superscript"/>
              </w:rPr>
              <w:t>6</w:t>
            </w:r>
          </w:p>
        </w:tc>
        <w:tc>
          <w:tcPr>
            <w:tcW w:w="2675" w:type="dxa"/>
            <w:vAlign w:val="center"/>
          </w:tcPr>
          <w:p>
            <w:pPr>
              <w:jc w:val="center"/>
              <w:rPr>
                <w:rFonts w:ascii="宋体" w:hAnsi="宋体"/>
                <w:sz w:val="18"/>
                <w:szCs w:val="18"/>
              </w:rPr>
            </w:pPr>
            <w:r>
              <w:rPr>
                <w:rFonts w:hint="eastAsia" w:ascii="宋体" w:hAnsi="宋体"/>
                <w:sz w:val="18"/>
                <w:szCs w:val="18"/>
              </w:rPr>
              <w:t>GB 4789.35</w:t>
            </w:r>
          </w:p>
        </w:tc>
      </w:tr>
    </w:tbl>
    <w:p>
      <w:pPr>
        <w:spacing w:beforeLines="50" w:afterLines="50"/>
        <w:rPr>
          <w:rFonts w:ascii="黑体" w:hAnsi="黑体" w:eastAsia="黑体"/>
          <w:szCs w:val="21"/>
        </w:rPr>
      </w:pPr>
      <w:r>
        <w:rPr>
          <w:rFonts w:hint="eastAsia" w:ascii="黑体" w:hAnsi="黑体" w:eastAsia="黑体"/>
          <w:szCs w:val="21"/>
          <w:lang w:val="en-US" w:eastAsia="zh-CN"/>
        </w:rPr>
        <w:t>4</w:t>
      </w:r>
      <w:r>
        <w:rPr>
          <w:rFonts w:hint="eastAsia" w:ascii="黑体" w:hAnsi="黑体" w:eastAsia="黑体"/>
          <w:szCs w:val="21"/>
        </w:rPr>
        <w:t xml:space="preserve">.5  </w:t>
      </w:r>
      <w:r>
        <w:rPr>
          <w:rFonts w:ascii="黑体" w:hAnsi="黑体" w:eastAsia="黑体"/>
          <w:szCs w:val="21"/>
        </w:rPr>
        <w:t>食品添加剂</w:t>
      </w:r>
    </w:p>
    <w:p>
      <w:pPr>
        <w:rPr>
          <w:szCs w:val="21"/>
        </w:rPr>
      </w:pPr>
      <w:r>
        <w:rPr>
          <w:rFonts w:hint="eastAsia" w:ascii="黑体" w:hAnsi="黑体" w:eastAsia="黑体"/>
          <w:szCs w:val="21"/>
          <w:lang w:val="en-US" w:eastAsia="zh-CN"/>
        </w:rPr>
        <w:t>4</w:t>
      </w:r>
      <w:r>
        <w:rPr>
          <w:rFonts w:hint="eastAsia" w:ascii="黑体" w:hAnsi="黑体" w:eastAsia="黑体"/>
          <w:szCs w:val="21"/>
        </w:rPr>
        <w:t>.5</w:t>
      </w:r>
      <w:r>
        <w:rPr>
          <w:rFonts w:ascii="黑体" w:hAnsi="黑体" w:eastAsia="黑体"/>
          <w:szCs w:val="21"/>
        </w:rPr>
        <w:t>.1</w:t>
      </w:r>
      <w:r>
        <w:rPr>
          <w:rFonts w:hint="eastAsia"/>
          <w:szCs w:val="21"/>
        </w:rPr>
        <w:t xml:space="preserve">  </w:t>
      </w:r>
      <w:r>
        <w:rPr>
          <w:rFonts w:hAnsi="宋体"/>
          <w:szCs w:val="21"/>
        </w:rPr>
        <w:t>食品添加剂的质量应符合相应标准的规定。</w:t>
      </w:r>
    </w:p>
    <w:p>
      <w:pPr>
        <w:rPr>
          <w:szCs w:val="21"/>
        </w:rPr>
      </w:pPr>
      <w:r>
        <w:rPr>
          <w:rFonts w:hint="eastAsia" w:ascii="黑体" w:eastAsia="黑体"/>
          <w:lang w:val="en-US" w:eastAsia="zh-CN"/>
        </w:rPr>
        <w:t>4</w:t>
      </w:r>
      <w:r>
        <w:rPr>
          <w:rFonts w:hint="eastAsia" w:ascii="黑体" w:eastAsia="黑体"/>
        </w:rPr>
        <w:t>.5</w:t>
      </w:r>
      <w:r>
        <w:rPr>
          <w:rFonts w:ascii="黑体" w:eastAsia="黑体"/>
        </w:rPr>
        <w:t>.2</w:t>
      </w:r>
      <w:r>
        <w:rPr>
          <w:rFonts w:hint="eastAsia"/>
        </w:rPr>
        <w:t xml:space="preserve">  </w:t>
      </w:r>
      <w:r>
        <w:rPr>
          <w:rFonts w:hAnsi="宋体"/>
        </w:rPr>
        <w:t>食品添加剂的使用品种和使用量应符合</w:t>
      </w:r>
      <w:r>
        <w:rPr>
          <w:rFonts w:ascii="宋体" w:hAnsi="宋体"/>
        </w:rPr>
        <w:t>GB</w:t>
      </w:r>
      <w:r>
        <w:rPr>
          <w:rFonts w:hint="eastAsia" w:ascii="宋体" w:hAnsi="宋体"/>
        </w:rPr>
        <w:t xml:space="preserve"> </w:t>
      </w:r>
      <w:r>
        <w:rPr>
          <w:rFonts w:ascii="宋体" w:hAnsi="宋体"/>
        </w:rPr>
        <w:t>2760</w:t>
      </w:r>
      <w:r>
        <w:rPr>
          <w:rFonts w:hAnsi="宋体"/>
        </w:rPr>
        <w:t>的规定。</w:t>
      </w:r>
    </w:p>
    <w:p>
      <w:pPr>
        <w:pStyle w:val="62"/>
        <w:spacing w:before="120" w:after="120"/>
        <w:rPr>
          <w:rFonts w:hAnsi="黑体"/>
        </w:rPr>
      </w:pPr>
      <w:r>
        <w:rPr>
          <w:rFonts w:hint="eastAsia" w:hAnsi="黑体"/>
          <w:lang w:val="en-US" w:eastAsia="zh-CN"/>
        </w:rPr>
        <w:t>4</w:t>
      </w:r>
      <w:r>
        <w:rPr>
          <w:rFonts w:hint="eastAsia" w:hAnsi="黑体"/>
        </w:rPr>
        <w:t>.6  净含量</w:t>
      </w:r>
    </w:p>
    <w:p>
      <w:pPr>
        <w:pStyle w:val="55"/>
        <w:ind w:firstLine="420"/>
        <w:rPr>
          <w:rFonts w:hAnsi="宋体"/>
          <w:szCs w:val="21"/>
        </w:rPr>
      </w:pPr>
      <w:r>
        <w:rPr>
          <w:rFonts w:hint="eastAsia" w:hAnsi="宋体"/>
          <w:szCs w:val="21"/>
        </w:rPr>
        <w:t>应符合《定量包装商品计量监督管理办法》的规定。检验按JJF 1070的规定执行。</w:t>
      </w:r>
    </w:p>
    <w:p>
      <w:pPr>
        <w:pStyle w:val="62"/>
        <w:spacing w:before="120" w:after="120"/>
        <w:rPr>
          <w:rFonts w:hAnsi="黑体"/>
        </w:rPr>
      </w:pPr>
      <w:r>
        <w:rPr>
          <w:rFonts w:hint="eastAsia" w:hAnsi="黑体"/>
          <w:lang w:val="en-US" w:eastAsia="zh-CN"/>
        </w:rPr>
        <w:t>4</w:t>
      </w:r>
      <w:r>
        <w:rPr>
          <w:rFonts w:hint="eastAsia" w:hAnsi="黑体"/>
        </w:rPr>
        <w:t>.7  农药最大残留量</w:t>
      </w:r>
    </w:p>
    <w:p>
      <w:pPr>
        <w:ind w:firstLine="420" w:firstLineChars="200"/>
        <w:rPr>
          <w:rFonts w:ascii="宋体" w:hAnsi="宋体"/>
        </w:rPr>
      </w:pPr>
      <w:r>
        <w:rPr>
          <w:rFonts w:hint="eastAsia" w:ascii="宋体" w:hAnsi="宋体"/>
        </w:rPr>
        <w:t>应符合GB 2763的规定。</w:t>
      </w:r>
    </w:p>
    <w:p>
      <w:pPr>
        <w:pStyle w:val="62"/>
        <w:spacing w:before="120" w:after="120"/>
        <w:rPr>
          <w:rFonts w:hAnsi="黑体"/>
        </w:rPr>
      </w:pPr>
      <w:r>
        <w:rPr>
          <w:rFonts w:hint="eastAsia" w:hAnsi="黑体"/>
          <w:lang w:val="en-US" w:eastAsia="zh-CN"/>
        </w:rPr>
        <w:t>4</w:t>
      </w:r>
      <w:r>
        <w:rPr>
          <w:rFonts w:hint="eastAsia" w:hAnsi="黑体"/>
        </w:rPr>
        <w:t>.8  其他污染物限量</w:t>
      </w:r>
    </w:p>
    <w:p>
      <w:pPr>
        <w:pStyle w:val="55"/>
        <w:ind w:firstLine="420"/>
        <w:rPr>
          <w:rFonts w:hAnsi="宋体"/>
          <w:szCs w:val="21"/>
        </w:rPr>
      </w:pPr>
      <w:r>
        <w:rPr>
          <w:rFonts w:hint="eastAsia" w:hAnsi="宋体"/>
          <w:szCs w:val="21"/>
        </w:rPr>
        <w:t>应符合GB 2762的规定。</w:t>
      </w:r>
    </w:p>
    <w:p>
      <w:pPr>
        <w:pStyle w:val="62"/>
        <w:spacing w:before="120" w:after="120"/>
        <w:rPr>
          <w:rFonts w:hAnsi="黑体"/>
        </w:rPr>
      </w:pPr>
      <w:r>
        <w:rPr>
          <w:rFonts w:hint="eastAsia" w:hAnsi="黑体"/>
          <w:lang w:val="en-US" w:eastAsia="zh-CN"/>
        </w:rPr>
        <w:t>4</w:t>
      </w:r>
      <w:r>
        <w:rPr>
          <w:rFonts w:hint="eastAsia" w:hAnsi="黑体"/>
        </w:rPr>
        <w:t>.9  其他真菌毒素限量</w:t>
      </w:r>
    </w:p>
    <w:p>
      <w:pPr>
        <w:pStyle w:val="55"/>
        <w:ind w:firstLine="420"/>
        <w:rPr>
          <w:rFonts w:hAnsi="宋体"/>
          <w:szCs w:val="21"/>
        </w:rPr>
      </w:pPr>
      <w:r>
        <w:rPr>
          <w:rFonts w:hint="eastAsia" w:hAnsi="宋体"/>
          <w:szCs w:val="21"/>
        </w:rPr>
        <w:t>应符合GB 2761的规定。</w:t>
      </w:r>
    </w:p>
    <w:p>
      <w:pPr>
        <w:pStyle w:val="63"/>
        <w:spacing w:before="156" w:after="156"/>
        <w:rPr>
          <w:rFonts w:hAnsi="黑体"/>
          <w:szCs w:val="21"/>
        </w:rPr>
      </w:pPr>
      <w:r>
        <w:rPr>
          <w:rFonts w:hint="eastAsia" w:hAnsi="黑体"/>
          <w:szCs w:val="21"/>
          <w:lang w:val="en-US" w:eastAsia="zh-CN"/>
        </w:rPr>
        <w:t>4</w:t>
      </w:r>
      <w:r>
        <w:rPr>
          <w:rFonts w:hint="eastAsia" w:hAnsi="黑体"/>
          <w:szCs w:val="21"/>
        </w:rPr>
        <w:t>.10  生产加工过程的卫生要求</w:t>
      </w:r>
    </w:p>
    <w:p>
      <w:pPr>
        <w:pStyle w:val="55"/>
        <w:ind w:firstLine="420"/>
        <w:rPr>
          <w:rFonts w:hAnsi="宋体"/>
          <w:szCs w:val="21"/>
        </w:rPr>
      </w:pPr>
      <w:r>
        <w:rPr>
          <w:rFonts w:hint="eastAsia" w:hAnsi="宋体"/>
          <w:szCs w:val="21"/>
        </w:rPr>
        <w:t>应符合GB 14881的规定。</w:t>
      </w:r>
    </w:p>
    <w:p>
      <w:pPr>
        <w:pStyle w:val="63"/>
        <w:tabs>
          <w:tab w:val="clear" w:pos="360"/>
        </w:tabs>
        <w:spacing w:beforeLines="100" w:afterLines="100"/>
      </w:pPr>
      <w:r>
        <w:rPr>
          <w:rFonts w:hint="eastAsia"/>
          <w:lang w:val="en-US" w:eastAsia="zh-CN"/>
        </w:rPr>
        <w:t>5</w:t>
      </w:r>
      <w:r>
        <w:rPr>
          <w:rFonts w:hint="eastAsia"/>
        </w:rPr>
        <w:t xml:space="preserve">  检验规则</w:t>
      </w:r>
    </w:p>
    <w:p>
      <w:pPr>
        <w:pStyle w:val="63"/>
        <w:numPr>
          <w:ilvl w:val="1"/>
          <w:numId w:val="0"/>
        </w:numPr>
        <w:tabs>
          <w:tab w:val="clear" w:pos="360"/>
        </w:tabs>
        <w:spacing w:before="156" w:after="156"/>
        <w:rPr>
          <w:rFonts w:hAnsi="黑体"/>
        </w:rPr>
      </w:pPr>
      <w:r>
        <w:rPr>
          <w:rFonts w:hint="eastAsia" w:hAnsi="黑体"/>
          <w:lang w:val="en-US" w:eastAsia="zh-CN"/>
        </w:rPr>
        <w:t>5</w:t>
      </w:r>
      <w:r>
        <w:rPr>
          <w:rFonts w:hint="eastAsia" w:hAnsi="黑体"/>
        </w:rPr>
        <w:t>.1  组批</w:t>
      </w:r>
    </w:p>
    <w:p>
      <w:pPr>
        <w:pStyle w:val="55"/>
        <w:ind w:firstLine="420"/>
        <w:rPr>
          <w:rFonts w:hAnsi="宋体"/>
        </w:rPr>
      </w:pPr>
      <w:r>
        <w:rPr>
          <w:rFonts w:hint="eastAsia" w:hAnsi="宋体"/>
          <w:szCs w:val="21"/>
        </w:rPr>
        <w:t>以同一次投料生产的同一规格的产品为一批。</w:t>
      </w:r>
    </w:p>
    <w:p>
      <w:pPr>
        <w:pStyle w:val="62"/>
        <w:numPr>
          <w:ilvl w:val="1"/>
          <w:numId w:val="0"/>
        </w:numPr>
        <w:tabs>
          <w:tab w:val="clear" w:pos="360"/>
        </w:tabs>
        <w:spacing w:beforeLines="50" w:afterLines="50"/>
        <w:jc w:val="left"/>
        <w:rPr>
          <w:rFonts w:hAnsi="黑体"/>
        </w:rPr>
      </w:pPr>
      <w:r>
        <w:rPr>
          <w:rFonts w:hint="eastAsia" w:hAnsi="黑体"/>
          <w:lang w:val="en-US" w:eastAsia="zh-CN"/>
        </w:rPr>
        <w:t>5</w:t>
      </w:r>
      <w:r>
        <w:rPr>
          <w:rFonts w:hint="eastAsia" w:hAnsi="黑体"/>
        </w:rPr>
        <w:t>.2  取样</w:t>
      </w:r>
    </w:p>
    <w:p>
      <w:pPr>
        <w:pStyle w:val="55"/>
        <w:ind w:firstLine="420"/>
        <w:rPr>
          <w:rFonts w:hAnsi="宋体"/>
        </w:rPr>
      </w:pPr>
      <w:r>
        <w:rPr>
          <w:rFonts w:hint="eastAsia" w:hAnsi="宋体"/>
          <w:bCs/>
          <w:szCs w:val="21"/>
        </w:rPr>
        <w:t>应从每批产品中随机抽取</w:t>
      </w:r>
      <w:r>
        <w:rPr>
          <w:rFonts w:hint="eastAsia" w:hAnsi="宋体"/>
          <w:bCs/>
          <w:szCs w:val="21"/>
          <w:lang w:val="en-US" w:eastAsia="zh-CN"/>
        </w:rPr>
        <w:t>6</w:t>
      </w:r>
      <w:r>
        <w:rPr>
          <w:rFonts w:hint="eastAsia" w:hAnsi="宋体"/>
          <w:bCs/>
          <w:szCs w:val="21"/>
        </w:rPr>
        <w:t>0瓶样品，其中</w:t>
      </w:r>
      <w:r>
        <w:rPr>
          <w:rFonts w:hint="eastAsia" w:hAnsi="宋体"/>
          <w:bCs/>
          <w:szCs w:val="21"/>
          <w:lang w:val="en-US" w:eastAsia="zh-CN"/>
        </w:rPr>
        <w:t>5</w:t>
      </w:r>
      <w:r>
        <w:rPr>
          <w:rFonts w:hint="eastAsia" w:hAnsi="宋体"/>
          <w:bCs/>
          <w:szCs w:val="21"/>
        </w:rPr>
        <w:t>0瓶作检验样品，另</w:t>
      </w:r>
      <w:r>
        <w:rPr>
          <w:rFonts w:hint="eastAsia" w:hAnsi="宋体"/>
          <w:bCs/>
          <w:szCs w:val="21"/>
          <w:lang w:val="en-US" w:eastAsia="zh-CN"/>
        </w:rPr>
        <w:t>1</w:t>
      </w:r>
      <w:r>
        <w:rPr>
          <w:rFonts w:hint="eastAsia" w:hAnsi="宋体"/>
          <w:bCs/>
          <w:szCs w:val="21"/>
        </w:rPr>
        <w:t>0瓶作备检样品。</w:t>
      </w:r>
    </w:p>
    <w:p>
      <w:pPr>
        <w:pStyle w:val="62"/>
        <w:numPr>
          <w:ilvl w:val="1"/>
          <w:numId w:val="0"/>
        </w:numPr>
        <w:tabs>
          <w:tab w:val="clear" w:pos="360"/>
        </w:tabs>
        <w:spacing w:beforeLines="50" w:afterLines="50"/>
        <w:jc w:val="left"/>
        <w:rPr>
          <w:rFonts w:hAnsi="黑体"/>
        </w:rPr>
      </w:pPr>
      <w:r>
        <w:rPr>
          <w:rFonts w:hint="eastAsia" w:hAnsi="黑体"/>
          <w:lang w:val="en-US" w:eastAsia="zh-CN"/>
        </w:rPr>
        <w:t>5</w:t>
      </w:r>
      <w:r>
        <w:rPr>
          <w:rFonts w:hint="eastAsia" w:hAnsi="黑体"/>
        </w:rPr>
        <w:t>.3  出厂检验</w:t>
      </w:r>
    </w:p>
    <w:p>
      <w:pPr>
        <w:pStyle w:val="55"/>
        <w:ind w:firstLine="420"/>
        <w:rPr>
          <w:rFonts w:hAnsi="宋体"/>
        </w:rPr>
      </w:pPr>
      <w:r>
        <w:rPr>
          <w:rFonts w:hint="eastAsia" w:hAnsi="宋体"/>
        </w:rPr>
        <w:t>每批产品出厂时，必须经过厂质检部门检验合格方可出厂，检验项目为：感官、净含量、水分及挥发物、酸价、过氧化值。</w:t>
      </w:r>
    </w:p>
    <w:p>
      <w:pPr>
        <w:pStyle w:val="62"/>
        <w:numPr>
          <w:ilvl w:val="1"/>
          <w:numId w:val="0"/>
        </w:numPr>
        <w:tabs>
          <w:tab w:val="clear" w:pos="360"/>
        </w:tabs>
        <w:spacing w:beforeLines="50" w:afterLines="50"/>
        <w:jc w:val="left"/>
        <w:rPr>
          <w:rFonts w:hAnsi="黑体"/>
        </w:rPr>
      </w:pPr>
      <w:r>
        <w:rPr>
          <w:rFonts w:hint="eastAsia" w:hAnsi="黑体"/>
          <w:lang w:val="en-US" w:eastAsia="zh-CN"/>
        </w:rPr>
        <w:t>5</w:t>
      </w:r>
      <w:r>
        <w:rPr>
          <w:rFonts w:hint="eastAsia" w:hAnsi="黑体"/>
        </w:rPr>
        <w:t>.4  型式检验</w:t>
      </w:r>
    </w:p>
    <w:p>
      <w:pPr>
        <w:ind w:firstLine="420" w:firstLineChars="200"/>
        <w:rPr>
          <w:rFonts w:hAnsi="宋体"/>
          <w:bCs/>
          <w:szCs w:val="21"/>
        </w:rPr>
      </w:pPr>
      <w:r>
        <w:rPr>
          <w:rFonts w:hint="eastAsia" w:hAnsi="宋体"/>
          <w:bCs/>
          <w:szCs w:val="21"/>
        </w:rPr>
        <w:t>型式检验项目应包括本标</w:t>
      </w:r>
      <w:r>
        <w:rPr>
          <w:rFonts w:hint="eastAsia" w:asciiTheme="majorEastAsia" w:hAnsiTheme="majorEastAsia" w:eastAsiaTheme="majorEastAsia" w:cstheme="majorEastAsia"/>
          <w:bCs/>
          <w:szCs w:val="21"/>
        </w:rPr>
        <w:t>准</w:t>
      </w:r>
      <w:r>
        <w:rPr>
          <w:rFonts w:hint="eastAsia" w:asciiTheme="majorEastAsia" w:hAnsiTheme="majorEastAsia" w:eastAsiaTheme="majorEastAsia" w:cstheme="majorEastAsia"/>
          <w:bCs/>
          <w:szCs w:val="21"/>
          <w:lang w:val="en-US" w:eastAsia="zh-CN"/>
        </w:rPr>
        <w:t>4</w:t>
      </w:r>
      <w:r>
        <w:rPr>
          <w:rFonts w:hint="eastAsia" w:asciiTheme="majorEastAsia" w:hAnsiTheme="majorEastAsia" w:eastAsiaTheme="majorEastAsia" w:cstheme="majorEastAsia"/>
          <w:bCs/>
          <w:szCs w:val="21"/>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szCs w:val="21"/>
          <w:lang w:val="en-US" w:eastAsia="zh-CN"/>
        </w:rPr>
        <w:t>4</w:t>
      </w:r>
      <w:r>
        <w:rPr>
          <w:rFonts w:hint="eastAsia" w:asciiTheme="majorEastAsia" w:hAnsiTheme="majorEastAsia" w:eastAsiaTheme="majorEastAsia" w:cstheme="majorEastAsia"/>
          <w:bCs/>
          <w:szCs w:val="21"/>
        </w:rPr>
        <w:t>.9</w:t>
      </w:r>
      <w:r>
        <w:rPr>
          <w:rFonts w:hint="eastAsia" w:hAnsi="宋体"/>
          <w:bCs/>
          <w:szCs w:val="21"/>
        </w:rPr>
        <w:t>的全部要求。型式检验应每半年进行一次。凡有下列情况之一时亦应进行型式检验：</w:t>
      </w:r>
    </w:p>
    <w:p>
      <w:pPr>
        <w:pStyle w:val="62"/>
        <w:numPr>
          <w:ilvl w:val="0"/>
          <w:numId w:val="1"/>
        </w:numPr>
        <w:tabs>
          <w:tab w:val="clear" w:pos="360"/>
        </w:tabs>
        <w:rPr>
          <w:rFonts w:ascii="宋体" w:hAnsi="宋体" w:eastAsia="宋体"/>
        </w:rPr>
      </w:pPr>
      <w:r>
        <w:rPr>
          <w:rFonts w:hint="eastAsia" w:ascii="宋体" w:hAnsi="宋体" w:eastAsia="宋体"/>
        </w:rPr>
        <w:t>原料的来源、等级有较大变化，可能影响产品品质时；</w:t>
      </w:r>
    </w:p>
    <w:p>
      <w:pPr>
        <w:pStyle w:val="62"/>
        <w:numPr>
          <w:ilvl w:val="0"/>
          <w:numId w:val="1"/>
        </w:numPr>
        <w:tabs>
          <w:tab w:val="clear" w:pos="360"/>
        </w:tabs>
        <w:rPr>
          <w:rFonts w:ascii="宋体" w:hAnsi="宋体" w:eastAsia="宋体"/>
        </w:rPr>
      </w:pPr>
      <w:r>
        <w:rPr>
          <w:rFonts w:hint="eastAsia" w:ascii="宋体" w:hAnsi="宋体" w:eastAsia="宋体"/>
        </w:rPr>
        <w:t>投产后，如原料、工艺、设备有较大改变，可能影响产品质量时；</w:t>
      </w:r>
    </w:p>
    <w:p>
      <w:pPr>
        <w:pStyle w:val="101"/>
        <w:numPr>
          <w:ilvl w:val="0"/>
          <w:numId w:val="1"/>
        </w:numPr>
        <w:ind w:leftChars="0" w:firstLineChars="0"/>
        <w:rPr>
          <w:rFonts w:hAnsi="宋体"/>
        </w:rPr>
      </w:pPr>
      <w:r>
        <w:rPr>
          <w:rFonts w:hint="eastAsia" w:hAnsi="宋体"/>
        </w:rPr>
        <w:t>连续停产三个月以上，恢复生产时；</w:t>
      </w:r>
    </w:p>
    <w:p>
      <w:pPr>
        <w:pStyle w:val="101"/>
        <w:numPr>
          <w:ilvl w:val="0"/>
          <w:numId w:val="1"/>
        </w:numPr>
        <w:ind w:leftChars="0" w:firstLineChars="0"/>
        <w:rPr>
          <w:rFonts w:hAnsi="宋体"/>
        </w:rPr>
      </w:pPr>
      <w:r>
        <w:rPr>
          <w:rFonts w:hint="eastAsia" w:hAnsi="宋体"/>
          <w:bCs/>
          <w:szCs w:val="21"/>
        </w:rPr>
        <w:t>出厂检验结果与上次型式检验结果有较大差异时；</w:t>
      </w:r>
    </w:p>
    <w:p>
      <w:pPr>
        <w:pStyle w:val="101"/>
        <w:numPr>
          <w:ilvl w:val="0"/>
          <w:numId w:val="1"/>
        </w:numPr>
        <w:ind w:leftChars="0" w:firstLineChars="0"/>
        <w:rPr>
          <w:rFonts w:hAnsi="宋体"/>
        </w:rPr>
      </w:pPr>
      <w:r>
        <w:rPr>
          <w:rFonts w:hint="eastAsia" w:hAnsi="宋体"/>
        </w:rPr>
        <w:t>国家质量监督机构提出要求时。</w:t>
      </w:r>
    </w:p>
    <w:p>
      <w:pPr>
        <w:pStyle w:val="62"/>
        <w:numPr>
          <w:ilvl w:val="1"/>
          <w:numId w:val="0"/>
        </w:numPr>
        <w:tabs>
          <w:tab w:val="clear" w:pos="360"/>
        </w:tabs>
        <w:spacing w:beforeLines="50" w:afterLines="50"/>
        <w:jc w:val="left"/>
        <w:rPr>
          <w:rFonts w:hAnsi="黑体"/>
        </w:rPr>
      </w:pPr>
      <w:r>
        <w:rPr>
          <w:rFonts w:hint="eastAsia" w:hAnsi="黑体"/>
          <w:lang w:val="en-US" w:eastAsia="zh-CN"/>
        </w:rPr>
        <w:t>5</w:t>
      </w:r>
      <w:r>
        <w:rPr>
          <w:rFonts w:hint="eastAsia" w:hAnsi="黑体"/>
        </w:rPr>
        <w:t>.5  判定规则</w:t>
      </w:r>
    </w:p>
    <w:p>
      <w:pPr>
        <w:ind w:firstLine="420" w:firstLineChars="200"/>
        <w:rPr>
          <w:rFonts w:hAnsi="宋体"/>
          <w:bCs/>
          <w:szCs w:val="21"/>
        </w:rPr>
      </w:pPr>
      <w:r>
        <w:rPr>
          <w:rFonts w:hint="eastAsia" w:hAnsi="宋体"/>
          <w:bCs/>
          <w:szCs w:val="21"/>
        </w:rPr>
        <w:t>当出厂检验项目或型式检验项目符合本标准规定时，判定该批产品合格。当出现不符合本标准规定的项目时，应对备检样品进行不合格项的复验，判定结果应以复验结果为准。微生物指标不合格不得复检。</w:t>
      </w:r>
    </w:p>
    <w:p>
      <w:pPr>
        <w:pStyle w:val="63"/>
        <w:tabs>
          <w:tab w:val="clear" w:pos="360"/>
        </w:tabs>
        <w:spacing w:beforeLines="100" w:afterLines="100"/>
      </w:pPr>
      <w:r>
        <w:rPr>
          <w:rFonts w:hint="eastAsia"/>
          <w:lang w:val="en-US" w:eastAsia="zh-CN"/>
        </w:rPr>
        <w:t>6</w:t>
      </w:r>
      <w:r>
        <w:rPr>
          <w:rFonts w:hint="eastAsia"/>
        </w:rPr>
        <w:t xml:space="preserve">  包装、标志、标签、运输、贮存</w:t>
      </w:r>
    </w:p>
    <w:p>
      <w:pPr>
        <w:pStyle w:val="62"/>
        <w:numPr>
          <w:ilvl w:val="1"/>
          <w:numId w:val="0"/>
        </w:numPr>
        <w:tabs>
          <w:tab w:val="clear" w:pos="360"/>
        </w:tabs>
        <w:spacing w:beforeLines="50" w:afterLines="50"/>
        <w:jc w:val="left"/>
        <w:rPr>
          <w:rFonts w:hAnsi="黑体"/>
        </w:rPr>
      </w:pPr>
      <w:r>
        <w:rPr>
          <w:rFonts w:hint="eastAsia" w:hAnsi="黑体"/>
          <w:lang w:val="en-US" w:eastAsia="zh-CN"/>
        </w:rPr>
        <w:t>6</w:t>
      </w:r>
      <w:r>
        <w:rPr>
          <w:rFonts w:hint="eastAsia" w:hAnsi="黑体"/>
        </w:rPr>
        <w:t>.1  包装</w:t>
      </w:r>
    </w:p>
    <w:p>
      <w:pPr>
        <w:pStyle w:val="55"/>
        <w:ind w:firstLine="420"/>
        <w:rPr>
          <w:rFonts w:hAnsi="宋体"/>
        </w:rPr>
      </w:pPr>
      <w:r>
        <w:rPr>
          <w:rFonts w:hint="eastAsia" w:hAnsi="宋体"/>
          <w:bCs/>
          <w:szCs w:val="21"/>
        </w:rPr>
        <w:t>产品应采用符合卫生要求的包装材料进行包装，包装封口应严密。</w:t>
      </w:r>
    </w:p>
    <w:p>
      <w:pPr>
        <w:pStyle w:val="62"/>
        <w:numPr>
          <w:ilvl w:val="1"/>
          <w:numId w:val="0"/>
        </w:numPr>
        <w:tabs>
          <w:tab w:val="clear" w:pos="360"/>
        </w:tabs>
        <w:spacing w:beforeLines="50" w:afterLines="50"/>
        <w:jc w:val="left"/>
        <w:rPr>
          <w:rFonts w:hAnsi="黑体"/>
        </w:rPr>
      </w:pPr>
      <w:r>
        <w:rPr>
          <w:rFonts w:hint="eastAsia"/>
          <w:lang w:val="en-US" w:eastAsia="zh-CN"/>
        </w:rPr>
        <w:t>6</w:t>
      </w:r>
      <w:r>
        <w:rPr>
          <w:rFonts w:hint="eastAsia"/>
        </w:rPr>
        <w:t>.2  标志、标签</w:t>
      </w:r>
    </w:p>
    <w:p>
      <w:pPr>
        <w:pStyle w:val="62"/>
        <w:ind w:firstLine="420" w:firstLineChars="200"/>
        <w:rPr>
          <w:rFonts w:ascii="宋体" w:hAnsi="宋体" w:eastAsia="宋体"/>
        </w:rPr>
      </w:pPr>
      <w:r>
        <w:rPr>
          <w:rFonts w:hint="eastAsia" w:ascii="宋体" w:hAnsi="宋体" w:eastAsia="宋体"/>
          <w:bCs/>
        </w:rPr>
        <w:t>产品包装物上应有明显标志，</w:t>
      </w:r>
      <w:r>
        <w:rPr>
          <w:rFonts w:hint="eastAsia" w:asciiTheme="minorEastAsia" w:hAnsiTheme="minorEastAsia" w:eastAsiaTheme="minorEastAsia"/>
        </w:rPr>
        <w:t>包装储运图示标志应符合GB/T 191</w:t>
      </w:r>
      <w:r>
        <w:rPr>
          <w:rFonts w:hint="eastAsia" w:ascii="宋体" w:hAnsi="宋体" w:eastAsia="宋体"/>
        </w:rPr>
        <w:t>的规定。</w:t>
      </w:r>
      <w:r>
        <w:rPr>
          <w:rFonts w:hint="eastAsia" w:ascii="宋体" w:hAnsi="宋体" w:eastAsia="宋体"/>
          <w:bCs/>
        </w:rPr>
        <w:t>食品标签</w:t>
      </w:r>
      <w:r>
        <w:rPr>
          <w:rFonts w:hint="eastAsia" w:ascii="宋体" w:hAnsi="宋体" w:eastAsia="宋体"/>
        </w:rPr>
        <w:t>应符合GB 7718的规定。</w:t>
      </w:r>
    </w:p>
    <w:p>
      <w:pPr>
        <w:pStyle w:val="62"/>
        <w:numPr>
          <w:ilvl w:val="1"/>
          <w:numId w:val="0"/>
        </w:numPr>
        <w:tabs>
          <w:tab w:val="clear" w:pos="360"/>
        </w:tabs>
        <w:spacing w:beforeLines="50" w:afterLines="50"/>
        <w:jc w:val="left"/>
        <w:rPr>
          <w:rFonts w:hAnsi="黑体"/>
        </w:rPr>
      </w:pPr>
      <w:r>
        <w:rPr>
          <w:rFonts w:hint="eastAsia" w:hAnsi="黑体"/>
          <w:lang w:val="en-US" w:eastAsia="zh-CN"/>
        </w:rPr>
        <w:t>6</w:t>
      </w:r>
      <w:r>
        <w:rPr>
          <w:rFonts w:hint="eastAsia" w:hAnsi="黑体"/>
        </w:rPr>
        <w:t>.3  运输</w:t>
      </w:r>
    </w:p>
    <w:p>
      <w:pPr>
        <w:ind w:firstLine="420" w:firstLineChars="200"/>
        <w:rPr>
          <w:rFonts w:hAnsi="宋体"/>
        </w:rPr>
      </w:pPr>
      <w:r>
        <w:rPr>
          <w:rFonts w:hint="eastAsia" w:hAnsi="宋体"/>
          <w:bCs/>
          <w:szCs w:val="21"/>
        </w:rPr>
        <w:t>运输工具应干爽、清洁、卫生。在运输、装卸过程中防止日晒雨淋。严禁与有毒、有害、有异味、易污染的物品混合装运。</w:t>
      </w:r>
    </w:p>
    <w:p>
      <w:pPr>
        <w:pStyle w:val="62"/>
        <w:numPr>
          <w:ilvl w:val="1"/>
          <w:numId w:val="0"/>
        </w:numPr>
        <w:tabs>
          <w:tab w:val="clear" w:pos="360"/>
        </w:tabs>
        <w:spacing w:beforeLines="50" w:afterLines="50"/>
        <w:jc w:val="left"/>
        <w:rPr>
          <w:rFonts w:hAnsi="黑体"/>
        </w:rPr>
      </w:pPr>
      <w:r>
        <w:rPr>
          <w:rFonts w:hint="eastAsia" w:hAnsi="黑体"/>
          <w:lang w:val="en-US" w:eastAsia="zh-CN"/>
        </w:rPr>
        <w:t>6</w:t>
      </w:r>
      <w:bookmarkStart w:id="27" w:name="_GoBack"/>
      <w:bookmarkEnd w:id="27"/>
      <w:r>
        <w:rPr>
          <w:rFonts w:hint="eastAsia" w:hAnsi="黑体"/>
        </w:rPr>
        <w:t>.4  贮存</w:t>
      </w:r>
    </w:p>
    <w:p>
      <w:pPr>
        <w:pStyle w:val="55"/>
        <w:ind w:firstLine="420"/>
        <w:rPr>
          <w:rFonts w:hAnsi="宋体"/>
        </w:rPr>
      </w:pPr>
      <w:r>
        <w:rPr>
          <w:rFonts w:hint="eastAsia" w:hAnsi="宋体"/>
        </w:rPr>
        <w:t>产品应贮存于通风、干燥、阴凉仓库内，防鼠、防火，不得与有害有毒物品混贮，堆放在一楼库房应离地20cm。</w:t>
      </w:r>
    </w:p>
    <w:p>
      <w:pPr>
        <w:pStyle w:val="55"/>
        <w:spacing w:line="340" w:lineRule="exact"/>
        <w:ind w:firstLine="0" w:firstLineChars="0"/>
      </w:pPr>
      <w:r>
        <w:rPr>
          <w:rFonts w:hint="eastAsia"/>
        </w:rPr>
        <w:t xml:space="preserve">                                </w:t>
      </w:r>
      <w:r>
        <w:rPr>
          <w:rFonts w:hint="eastAsia"/>
          <w:u w:val="single"/>
        </w:rPr>
        <w:t xml:space="preserve">                    </w:t>
      </w:r>
      <w:bookmarkStart w:id="21" w:name="_Toc237062524"/>
      <w:bookmarkEnd w:id="21"/>
      <w:bookmarkStart w:id="22" w:name="_Toc237062526"/>
      <w:bookmarkEnd w:id="22"/>
      <w:bookmarkStart w:id="23" w:name="_Toc106812696"/>
      <w:bookmarkEnd w:id="23"/>
      <w:bookmarkStart w:id="24" w:name="_Toc111122058"/>
      <w:bookmarkEnd w:id="24"/>
      <w:bookmarkStart w:id="25" w:name="_Toc118475661"/>
      <w:bookmarkEnd w:id="25"/>
      <w:bookmarkStart w:id="26" w:name="_Toc237062525"/>
      <w:bookmarkEnd w:id="26"/>
      <w:r>
        <w:rPr>
          <w:rFonts w:hint="eastAsia"/>
          <w:u w:val="single"/>
        </w:rPr>
        <w:t xml:space="preserve">    </w:t>
      </w:r>
    </w:p>
    <w:sectPr>
      <w:footerReference r:id="rId10" w:type="default"/>
      <w:footerReference r:id="rId11" w:type="even"/>
      <w:pgSz w:w="11907" w:h="16839"/>
      <w:pgMar w:top="1418" w:right="1512" w:bottom="1134" w:left="1418" w:header="1134"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golian Baiti">
    <w:panose1 w:val="03000500000000000000"/>
    <w:charset w:val="00"/>
    <w:family w:val="script"/>
    <w:pitch w:val="default"/>
    <w:sig w:usb0="80000023" w:usb1="00000000" w:usb2="0002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fldChar w:fldCharType="begin"/>
    </w:r>
    <w:r>
      <w:rPr>
        <w:rStyle w:val="37"/>
      </w:rPr>
      <w:instrText xml:space="preserve">PAGE  </w:instrText>
    </w:r>
    <w:r>
      <w:fldChar w:fldCharType="separate"/>
    </w:r>
    <w:r>
      <w:rPr>
        <w:rStyle w:val="37"/>
      </w:rPr>
      <w:t>4</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rPr>
        <w:rStyle w:val="37"/>
      </w:rPr>
    </w:pPr>
    <w:r>
      <w:fldChar w:fldCharType="begin"/>
    </w:r>
    <w:r>
      <w:rPr>
        <w:rStyle w:val="37"/>
      </w:rPr>
      <w:instrText xml:space="preserve">PAGE  </w:instrText>
    </w:r>
    <w:r>
      <w:fldChar w:fldCharType="separate"/>
    </w:r>
    <w:r>
      <w:rPr>
        <w:rStyle w:val="37"/>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rPr>
        <w:rStyle w:val="37"/>
      </w:rPr>
    </w:pPr>
    <w:r>
      <w:rPr>
        <w:rStyle w:val="37"/>
        <w:rFonts w:hint="eastAsia"/>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rPr>
        <w:rStyle w:val="37"/>
      </w:rPr>
    </w:pPr>
    <w:r>
      <w:fldChar w:fldCharType="begin"/>
    </w:r>
    <w:r>
      <w:rPr>
        <w:rStyle w:val="37"/>
      </w:rPr>
      <w:instrText xml:space="preserve">PAGE  </w:instrText>
    </w:r>
    <w:r>
      <w:fldChar w:fldCharType="separate"/>
    </w:r>
    <w:r>
      <w:rPr>
        <w:rStyle w:val="37"/>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rPr>
        <w:rStyle w:val="37"/>
      </w:rPr>
    </w:pPr>
    <w:r>
      <w:fldChar w:fldCharType="begin"/>
    </w:r>
    <w:r>
      <w:rPr>
        <w:rStyle w:val="37"/>
      </w:rPr>
      <w:instrText xml:space="preserve">PAGE  </w:instrText>
    </w:r>
    <w:r>
      <w:fldChar w:fldCharType="separate"/>
    </w:r>
    <w:r>
      <w:rPr>
        <w:rStyle w:val="37"/>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20" w:firstLine="6930" w:firstLineChars="3300"/>
      <w:jc w:val="both"/>
      <w:rPr>
        <w:rFonts w:ascii="Mongolian Baiti" w:hAnsi="Mongolian Baiti" w:eastAsia="黑体" w:cs="Mongolian Baiti"/>
        <w:sz w:val="21"/>
        <w:szCs w:val="21"/>
      </w:rPr>
    </w:pPr>
    <w:r>
      <w:rPr>
        <w:rFonts w:ascii="Mongolian Baiti" w:hAnsi="Mongolian Baiti" w:eastAsia="黑体" w:cs="Mongolian Baiti"/>
        <w:sz w:val="21"/>
        <w:szCs w:val="21"/>
      </w:rPr>
      <w:t>Q/QZA 0001S-2018</w:t>
    </w:r>
  </w:p>
  <w:p>
    <w:pPr>
      <w:pStyle w:val="25"/>
      <w:ind w:right="420"/>
      <w:jc w:val="both"/>
      <w:rPr>
        <w:rFonts w:hint="eastAsia" w:ascii="黑体" w:eastAsia="黑体"/>
        <w:i/>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8"/>
      <w:wordWrap w:val="0"/>
      <w:rPr>
        <w:rFonts w:hint="default" w:ascii="黑体" w:eastAsia="黑体"/>
        <w:szCs w:val="21"/>
        <w:lang w:val="en-US" w:eastAsia="zh-CN"/>
      </w:rPr>
    </w:pPr>
    <w:r>
      <w:rPr>
        <w:rFonts w:hint="eastAsia" w:ascii="黑体" w:eastAsia="黑体"/>
        <w:szCs w:val="21"/>
      </w:rPr>
      <w:t>Q/SNSW 0001S-20</w:t>
    </w:r>
    <w:r>
      <w:rPr>
        <w:rFonts w:hint="eastAsia" w:ascii="黑体" w:eastAsia="黑体"/>
        <w:szCs w:val="21"/>
        <w:lang w:val="en-US" w:eastAsia="zh-CN"/>
      </w:rPr>
      <w:t>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5"/>
      <w:jc w:val="right"/>
      <w:rPr>
        <w:rFonts w:hint="default" w:eastAsia="黑体"/>
        <w:color w:val="FF0000"/>
        <w:sz w:val="21"/>
        <w:szCs w:val="21"/>
        <w:lang w:val="en-US" w:eastAsia="zh-CN"/>
      </w:rPr>
    </w:pPr>
    <w:r>
      <w:rPr>
        <w:rFonts w:hint="eastAsia" w:ascii="黑体" w:eastAsia="黑体"/>
        <w:sz w:val="21"/>
        <w:szCs w:val="21"/>
      </w:rPr>
      <w:t>Q/SNSW 0001S-20</w:t>
    </w:r>
    <w:r>
      <w:rPr>
        <w:rFonts w:hint="eastAsia" w:ascii="黑体" w:eastAsia="黑体"/>
        <w:sz w:val="21"/>
        <w:szCs w:val="21"/>
        <w:lang w:val="en-US" w:eastAsia="zh-CN"/>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97B50"/>
    <w:multiLevelType w:val="multilevel"/>
    <w:tmpl w:val="3B097B50"/>
    <w:lvl w:ilvl="0" w:tentative="0">
      <w:start w:val="1"/>
      <w:numFmt w:val="lowerLetter"/>
      <w:lvlText w:val="%1)"/>
      <w:lvlJc w:val="left"/>
      <w:pPr>
        <w:tabs>
          <w:tab w:val="left" w:pos="780"/>
        </w:tabs>
        <w:ind w:left="780" w:hanging="360"/>
      </w:pPr>
      <w:rPr>
        <w:rFonts w:hint="default" w:ascii="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94"/>
    <w:rsid w:val="00007BC3"/>
    <w:rsid w:val="00014372"/>
    <w:rsid w:val="00022446"/>
    <w:rsid w:val="00030117"/>
    <w:rsid w:val="00033A6E"/>
    <w:rsid w:val="000373C1"/>
    <w:rsid w:val="00037780"/>
    <w:rsid w:val="00041438"/>
    <w:rsid w:val="00042611"/>
    <w:rsid w:val="00045D85"/>
    <w:rsid w:val="000513AC"/>
    <w:rsid w:val="00053FC3"/>
    <w:rsid w:val="00055F78"/>
    <w:rsid w:val="00060206"/>
    <w:rsid w:val="00062122"/>
    <w:rsid w:val="000722A3"/>
    <w:rsid w:val="00076962"/>
    <w:rsid w:val="00077C28"/>
    <w:rsid w:val="00090991"/>
    <w:rsid w:val="00090C7A"/>
    <w:rsid w:val="00092915"/>
    <w:rsid w:val="00093417"/>
    <w:rsid w:val="00095144"/>
    <w:rsid w:val="000974B0"/>
    <w:rsid w:val="000A07F2"/>
    <w:rsid w:val="000A0F6C"/>
    <w:rsid w:val="000A11AC"/>
    <w:rsid w:val="000A1238"/>
    <w:rsid w:val="000A6565"/>
    <w:rsid w:val="000B0DB9"/>
    <w:rsid w:val="000B3507"/>
    <w:rsid w:val="000B6965"/>
    <w:rsid w:val="000C12C8"/>
    <w:rsid w:val="000C294A"/>
    <w:rsid w:val="000C3E01"/>
    <w:rsid w:val="000C4E5D"/>
    <w:rsid w:val="000D1351"/>
    <w:rsid w:val="000D4C1C"/>
    <w:rsid w:val="000E00FF"/>
    <w:rsid w:val="000E1C40"/>
    <w:rsid w:val="000E4388"/>
    <w:rsid w:val="000E584A"/>
    <w:rsid w:val="000E713F"/>
    <w:rsid w:val="000F3939"/>
    <w:rsid w:val="000F6094"/>
    <w:rsid w:val="0010214A"/>
    <w:rsid w:val="001040D6"/>
    <w:rsid w:val="00105782"/>
    <w:rsid w:val="001075CB"/>
    <w:rsid w:val="00111332"/>
    <w:rsid w:val="001473E8"/>
    <w:rsid w:val="001522E7"/>
    <w:rsid w:val="001535FA"/>
    <w:rsid w:val="00160934"/>
    <w:rsid w:val="00162B32"/>
    <w:rsid w:val="0016446C"/>
    <w:rsid w:val="00171EF5"/>
    <w:rsid w:val="00181BEF"/>
    <w:rsid w:val="00182A43"/>
    <w:rsid w:val="001848CA"/>
    <w:rsid w:val="00187484"/>
    <w:rsid w:val="00196BBE"/>
    <w:rsid w:val="001A2B34"/>
    <w:rsid w:val="001A371C"/>
    <w:rsid w:val="001A37A6"/>
    <w:rsid w:val="001A4554"/>
    <w:rsid w:val="001A50D1"/>
    <w:rsid w:val="001A5B8C"/>
    <w:rsid w:val="001A7AE7"/>
    <w:rsid w:val="001C3B45"/>
    <w:rsid w:val="001C40C4"/>
    <w:rsid w:val="001D1D65"/>
    <w:rsid w:val="001D4FE2"/>
    <w:rsid w:val="001D5BD2"/>
    <w:rsid w:val="001E2E65"/>
    <w:rsid w:val="001E7A25"/>
    <w:rsid w:val="001E7E14"/>
    <w:rsid w:val="001F10FF"/>
    <w:rsid w:val="002028BF"/>
    <w:rsid w:val="002044AB"/>
    <w:rsid w:val="00205D9C"/>
    <w:rsid w:val="00212748"/>
    <w:rsid w:val="00213DF0"/>
    <w:rsid w:val="00214A5C"/>
    <w:rsid w:val="0022142E"/>
    <w:rsid w:val="002251D5"/>
    <w:rsid w:val="00227E2D"/>
    <w:rsid w:val="00232E8F"/>
    <w:rsid w:val="00235F78"/>
    <w:rsid w:val="0023718D"/>
    <w:rsid w:val="0024137B"/>
    <w:rsid w:val="002434E5"/>
    <w:rsid w:val="00244E1F"/>
    <w:rsid w:val="00250E63"/>
    <w:rsid w:val="00253356"/>
    <w:rsid w:val="0025494D"/>
    <w:rsid w:val="002552C8"/>
    <w:rsid w:val="00264BEB"/>
    <w:rsid w:val="00271637"/>
    <w:rsid w:val="00272564"/>
    <w:rsid w:val="00274892"/>
    <w:rsid w:val="00275B6D"/>
    <w:rsid w:val="00277C0A"/>
    <w:rsid w:val="00277FB6"/>
    <w:rsid w:val="00285E51"/>
    <w:rsid w:val="0029033E"/>
    <w:rsid w:val="00295D1B"/>
    <w:rsid w:val="00295E47"/>
    <w:rsid w:val="002964F2"/>
    <w:rsid w:val="00296F92"/>
    <w:rsid w:val="002A1C0D"/>
    <w:rsid w:val="002A7800"/>
    <w:rsid w:val="002A78F8"/>
    <w:rsid w:val="002B0C6A"/>
    <w:rsid w:val="002B2D5E"/>
    <w:rsid w:val="002B7552"/>
    <w:rsid w:val="002C0AA0"/>
    <w:rsid w:val="002C1925"/>
    <w:rsid w:val="002C4260"/>
    <w:rsid w:val="002C5C17"/>
    <w:rsid w:val="002C71D5"/>
    <w:rsid w:val="002D096B"/>
    <w:rsid w:val="002D3C85"/>
    <w:rsid w:val="002E609B"/>
    <w:rsid w:val="0030163E"/>
    <w:rsid w:val="00313A0F"/>
    <w:rsid w:val="00314C40"/>
    <w:rsid w:val="0031563F"/>
    <w:rsid w:val="00315871"/>
    <w:rsid w:val="00324C81"/>
    <w:rsid w:val="00325942"/>
    <w:rsid w:val="00327A00"/>
    <w:rsid w:val="0033239B"/>
    <w:rsid w:val="003435C1"/>
    <w:rsid w:val="003536F5"/>
    <w:rsid w:val="00354E2B"/>
    <w:rsid w:val="00366D7C"/>
    <w:rsid w:val="00367CDF"/>
    <w:rsid w:val="0037266A"/>
    <w:rsid w:val="00373049"/>
    <w:rsid w:val="00373A40"/>
    <w:rsid w:val="00373A54"/>
    <w:rsid w:val="0037541A"/>
    <w:rsid w:val="00375D21"/>
    <w:rsid w:val="003840F3"/>
    <w:rsid w:val="003863F1"/>
    <w:rsid w:val="00386CF1"/>
    <w:rsid w:val="00391170"/>
    <w:rsid w:val="00392E96"/>
    <w:rsid w:val="00394FA7"/>
    <w:rsid w:val="0039779E"/>
    <w:rsid w:val="003A0999"/>
    <w:rsid w:val="003A0E14"/>
    <w:rsid w:val="003A263F"/>
    <w:rsid w:val="003A2D6B"/>
    <w:rsid w:val="003A419C"/>
    <w:rsid w:val="003A41A7"/>
    <w:rsid w:val="003A69F7"/>
    <w:rsid w:val="003A763E"/>
    <w:rsid w:val="003B32C1"/>
    <w:rsid w:val="003C521C"/>
    <w:rsid w:val="003C62C3"/>
    <w:rsid w:val="003C6E08"/>
    <w:rsid w:val="003D121C"/>
    <w:rsid w:val="003D2950"/>
    <w:rsid w:val="003D35C7"/>
    <w:rsid w:val="003D6FFE"/>
    <w:rsid w:val="003E113C"/>
    <w:rsid w:val="003E4544"/>
    <w:rsid w:val="003E55DC"/>
    <w:rsid w:val="003F0F88"/>
    <w:rsid w:val="003F480B"/>
    <w:rsid w:val="003F72A3"/>
    <w:rsid w:val="00400B4F"/>
    <w:rsid w:val="0040275A"/>
    <w:rsid w:val="00402B77"/>
    <w:rsid w:val="004034EC"/>
    <w:rsid w:val="00404C8B"/>
    <w:rsid w:val="004134DB"/>
    <w:rsid w:val="00413872"/>
    <w:rsid w:val="00414BEC"/>
    <w:rsid w:val="004169CA"/>
    <w:rsid w:val="00426744"/>
    <w:rsid w:val="00437153"/>
    <w:rsid w:val="00437D6C"/>
    <w:rsid w:val="0044555F"/>
    <w:rsid w:val="00446CD2"/>
    <w:rsid w:val="00450612"/>
    <w:rsid w:val="004514B3"/>
    <w:rsid w:val="004547B8"/>
    <w:rsid w:val="00455ADC"/>
    <w:rsid w:val="004603A9"/>
    <w:rsid w:val="0047366E"/>
    <w:rsid w:val="00473F4C"/>
    <w:rsid w:val="00474FC6"/>
    <w:rsid w:val="00476E0C"/>
    <w:rsid w:val="004826B9"/>
    <w:rsid w:val="004853C4"/>
    <w:rsid w:val="004910A3"/>
    <w:rsid w:val="00491BB7"/>
    <w:rsid w:val="00491DD6"/>
    <w:rsid w:val="0049234D"/>
    <w:rsid w:val="00493A62"/>
    <w:rsid w:val="00495356"/>
    <w:rsid w:val="0049582E"/>
    <w:rsid w:val="004A182F"/>
    <w:rsid w:val="004A4E44"/>
    <w:rsid w:val="004B0BA8"/>
    <w:rsid w:val="004B0D71"/>
    <w:rsid w:val="004C0537"/>
    <w:rsid w:val="004C0DCD"/>
    <w:rsid w:val="004C3ABD"/>
    <w:rsid w:val="004C5147"/>
    <w:rsid w:val="004D07D6"/>
    <w:rsid w:val="004D3D08"/>
    <w:rsid w:val="004D6456"/>
    <w:rsid w:val="004E0558"/>
    <w:rsid w:val="004E6B25"/>
    <w:rsid w:val="004F2EF9"/>
    <w:rsid w:val="004F5E82"/>
    <w:rsid w:val="004F5EA0"/>
    <w:rsid w:val="0050422E"/>
    <w:rsid w:val="0050787A"/>
    <w:rsid w:val="005078E7"/>
    <w:rsid w:val="00515E85"/>
    <w:rsid w:val="0052005B"/>
    <w:rsid w:val="00521FFD"/>
    <w:rsid w:val="00522C4D"/>
    <w:rsid w:val="005267AC"/>
    <w:rsid w:val="00532BC5"/>
    <w:rsid w:val="005335C4"/>
    <w:rsid w:val="00534E3B"/>
    <w:rsid w:val="005372F9"/>
    <w:rsid w:val="00542CB5"/>
    <w:rsid w:val="0054322D"/>
    <w:rsid w:val="00550976"/>
    <w:rsid w:val="0055101E"/>
    <w:rsid w:val="005513C2"/>
    <w:rsid w:val="00551F59"/>
    <w:rsid w:val="00552219"/>
    <w:rsid w:val="00552DE7"/>
    <w:rsid w:val="00556524"/>
    <w:rsid w:val="005567F2"/>
    <w:rsid w:val="00556999"/>
    <w:rsid w:val="00560C63"/>
    <w:rsid w:val="00562235"/>
    <w:rsid w:val="00563A29"/>
    <w:rsid w:val="00567AD0"/>
    <w:rsid w:val="0058291D"/>
    <w:rsid w:val="00582FB1"/>
    <w:rsid w:val="005837B0"/>
    <w:rsid w:val="0058528C"/>
    <w:rsid w:val="00585A73"/>
    <w:rsid w:val="005923E5"/>
    <w:rsid w:val="005936D2"/>
    <w:rsid w:val="005942DA"/>
    <w:rsid w:val="005A24D6"/>
    <w:rsid w:val="005B1E3D"/>
    <w:rsid w:val="005B5651"/>
    <w:rsid w:val="005B6055"/>
    <w:rsid w:val="005B74EF"/>
    <w:rsid w:val="005C5652"/>
    <w:rsid w:val="005D036B"/>
    <w:rsid w:val="005D0F85"/>
    <w:rsid w:val="005D63AF"/>
    <w:rsid w:val="005D6CC5"/>
    <w:rsid w:val="005E5187"/>
    <w:rsid w:val="005E58F3"/>
    <w:rsid w:val="00601495"/>
    <w:rsid w:val="0060292D"/>
    <w:rsid w:val="00603985"/>
    <w:rsid w:val="00610040"/>
    <w:rsid w:val="00613D96"/>
    <w:rsid w:val="00613F85"/>
    <w:rsid w:val="00616297"/>
    <w:rsid w:val="00622796"/>
    <w:rsid w:val="00622C2C"/>
    <w:rsid w:val="00623B61"/>
    <w:rsid w:val="006379B2"/>
    <w:rsid w:val="00643019"/>
    <w:rsid w:val="006443F3"/>
    <w:rsid w:val="00644C74"/>
    <w:rsid w:val="00646C5E"/>
    <w:rsid w:val="00653A9B"/>
    <w:rsid w:val="00657370"/>
    <w:rsid w:val="00665FF8"/>
    <w:rsid w:val="0067281C"/>
    <w:rsid w:val="006734CA"/>
    <w:rsid w:val="00676CE7"/>
    <w:rsid w:val="00682326"/>
    <w:rsid w:val="00685E89"/>
    <w:rsid w:val="0068653A"/>
    <w:rsid w:val="00687785"/>
    <w:rsid w:val="006908AB"/>
    <w:rsid w:val="006938E9"/>
    <w:rsid w:val="006A3658"/>
    <w:rsid w:val="006C2DE8"/>
    <w:rsid w:val="006C78FC"/>
    <w:rsid w:val="006E0157"/>
    <w:rsid w:val="006E2411"/>
    <w:rsid w:val="006E448D"/>
    <w:rsid w:val="006E79CF"/>
    <w:rsid w:val="006F1F2B"/>
    <w:rsid w:val="006F4631"/>
    <w:rsid w:val="00701FDD"/>
    <w:rsid w:val="007043D9"/>
    <w:rsid w:val="0070649B"/>
    <w:rsid w:val="00706970"/>
    <w:rsid w:val="007123BB"/>
    <w:rsid w:val="00712569"/>
    <w:rsid w:val="0071368E"/>
    <w:rsid w:val="007152EA"/>
    <w:rsid w:val="00723C20"/>
    <w:rsid w:val="00730645"/>
    <w:rsid w:val="00734976"/>
    <w:rsid w:val="00735B1D"/>
    <w:rsid w:val="007447C1"/>
    <w:rsid w:val="00744C21"/>
    <w:rsid w:val="007470C3"/>
    <w:rsid w:val="00751906"/>
    <w:rsid w:val="0075198B"/>
    <w:rsid w:val="00752926"/>
    <w:rsid w:val="00753A40"/>
    <w:rsid w:val="00754A66"/>
    <w:rsid w:val="007557AE"/>
    <w:rsid w:val="0075683B"/>
    <w:rsid w:val="007570E9"/>
    <w:rsid w:val="007636BE"/>
    <w:rsid w:val="00764BF2"/>
    <w:rsid w:val="00765DC8"/>
    <w:rsid w:val="007702AA"/>
    <w:rsid w:val="00771943"/>
    <w:rsid w:val="0077322E"/>
    <w:rsid w:val="00773AB7"/>
    <w:rsid w:val="00794910"/>
    <w:rsid w:val="00794EFB"/>
    <w:rsid w:val="00797E97"/>
    <w:rsid w:val="007B5AED"/>
    <w:rsid w:val="007B74FA"/>
    <w:rsid w:val="007C0295"/>
    <w:rsid w:val="007C092C"/>
    <w:rsid w:val="007C4443"/>
    <w:rsid w:val="007D1D32"/>
    <w:rsid w:val="007D534E"/>
    <w:rsid w:val="007E14FF"/>
    <w:rsid w:val="007E1E05"/>
    <w:rsid w:val="007E6109"/>
    <w:rsid w:val="007E7E1E"/>
    <w:rsid w:val="008033E9"/>
    <w:rsid w:val="00812A78"/>
    <w:rsid w:val="008157C6"/>
    <w:rsid w:val="008176EB"/>
    <w:rsid w:val="008257B0"/>
    <w:rsid w:val="00832571"/>
    <w:rsid w:val="008343A6"/>
    <w:rsid w:val="008357D1"/>
    <w:rsid w:val="00835F70"/>
    <w:rsid w:val="008420B7"/>
    <w:rsid w:val="008458F2"/>
    <w:rsid w:val="00847D1E"/>
    <w:rsid w:val="0085004F"/>
    <w:rsid w:val="00850BB9"/>
    <w:rsid w:val="0085116A"/>
    <w:rsid w:val="0085385A"/>
    <w:rsid w:val="00865738"/>
    <w:rsid w:val="0087030D"/>
    <w:rsid w:val="00871A8A"/>
    <w:rsid w:val="00873FB9"/>
    <w:rsid w:val="00874530"/>
    <w:rsid w:val="0088318F"/>
    <w:rsid w:val="00885310"/>
    <w:rsid w:val="00885C09"/>
    <w:rsid w:val="00892636"/>
    <w:rsid w:val="008976D5"/>
    <w:rsid w:val="008A27E2"/>
    <w:rsid w:val="008B0092"/>
    <w:rsid w:val="008B2C21"/>
    <w:rsid w:val="008B5E6B"/>
    <w:rsid w:val="008B6D8E"/>
    <w:rsid w:val="008C13DC"/>
    <w:rsid w:val="008C33CA"/>
    <w:rsid w:val="008C5F24"/>
    <w:rsid w:val="008C699D"/>
    <w:rsid w:val="008C6A9B"/>
    <w:rsid w:val="008C7769"/>
    <w:rsid w:val="008D2AC2"/>
    <w:rsid w:val="008D6750"/>
    <w:rsid w:val="008E527F"/>
    <w:rsid w:val="008F0F89"/>
    <w:rsid w:val="008F135C"/>
    <w:rsid w:val="008F7C43"/>
    <w:rsid w:val="00902412"/>
    <w:rsid w:val="009062D9"/>
    <w:rsid w:val="009111BA"/>
    <w:rsid w:val="00914735"/>
    <w:rsid w:val="00914F81"/>
    <w:rsid w:val="009155EB"/>
    <w:rsid w:val="009274F0"/>
    <w:rsid w:val="00933096"/>
    <w:rsid w:val="009363E5"/>
    <w:rsid w:val="00937F23"/>
    <w:rsid w:val="00940A28"/>
    <w:rsid w:val="00942360"/>
    <w:rsid w:val="00942698"/>
    <w:rsid w:val="00950F46"/>
    <w:rsid w:val="0096047B"/>
    <w:rsid w:val="00965AFD"/>
    <w:rsid w:val="00966949"/>
    <w:rsid w:val="009709C2"/>
    <w:rsid w:val="00971CA9"/>
    <w:rsid w:val="009767DC"/>
    <w:rsid w:val="00981A00"/>
    <w:rsid w:val="009836CA"/>
    <w:rsid w:val="00985167"/>
    <w:rsid w:val="00993645"/>
    <w:rsid w:val="00993AF8"/>
    <w:rsid w:val="00995149"/>
    <w:rsid w:val="00996CA8"/>
    <w:rsid w:val="009A078B"/>
    <w:rsid w:val="009A4EC7"/>
    <w:rsid w:val="009B0D9C"/>
    <w:rsid w:val="009C03B5"/>
    <w:rsid w:val="009C0EF6"/>
    <w:rsid w:val="009C142D"/>
    <w:rsid w:val="009C2D9F"/>
    <w:rsid w:val="009C5A2C"/>
    <w:rsid w:val="009D1612"/>
    <w:rsid w:val="009E7508"/>
    <w:rsid w:val="009F16AF"/>
    <w:rsid w:val="009F367E"/>
    <w:rsid w:val="009F3E7E"/>
    <w:rsid w:val="009F46EA"/>
    <w:rsid w:val="009F586C"/>
    <w:rsid w:val="009F7BD1"/>
    <w:rsid w:val="00A01E49"/>
    <w:rsid w:val="00A03A98"/>
    <w:rsid w:val="00A058C6"/>
    <w:rsid w:val="00A07A44"/>
    <w:rsid w:val="00A172D6"/>
    <w:rsid w:val="00A21171"/>
    <w:rsid w:val="00A247F1"/>
    <w:rsid w:val="00A25048"/>
    <w:rsid w:val="00A2779C"/>
    <w:rsid w:val="00A27DCA"/>
    <w:rsid w:val="00A30019"/>
    <w:rsid w:val="00A323FE"/>
    <w:rsid w:val="00A33C9C"/>
    <w:rsid w:val="00A34D0F"/>
    <w:rsid w:val="00A360D4"/>
    <w:rsid w:val="00A4537D"/>
    <w:rsid w:val="00A46063"/>
    <w:rsid w:val="00A47D1C"/>
    <w:rsid w:val="00A55545"/>
    <w:rsid w:val="00A6039F"/>
    <w:rsid w:val="00A607B9"/>
    <w:rsid w:val="00A607FA"/>
    <w:rsid w:val="00A609C2"/>
    <w:rsid w:val="00A61891"/>
    <w:rsid w:val="00A66D57"/>
    <w:rsid w:val="00A67369"/>
    <w:rsid w:val="00A7157F"/>
    <w:rsid w:val="00A72595"/>
    <w:rsid w:val="00A76659"/>
    <w:rsid w:val="00A80742"/>
    <w:rsid w:val="00A83692"/>
    <w:rsid w:val="00A92958"/>
    <w:rsid w:val="00A93BDA"/>
    <w:rsid w:val="00AA4F45"/>
    <w:rsid w:val="00AC0316"/>
    <w:rsid w:val="00AD0A5F"/>
    <w:rsid w:val="00AE05E8"/>
    <w:rsid w:val="00AE1E08"/>
    <w:rsid w:val="00AE2CB4"/>
    <w:rsid w:val="00AF1B34"/>
    <w:rsid w:val="00AF66DC"/>
    <w:rsid w:val="00B00281"/>
    <w:rsid w:val="00B013D9"/>
    <w:rsid w:val="00B05791"/>
    <w:rsid w:val="00B133A0"/>
    <w:rsid w:val="00B140BC"/>
    <w:rsid w:val="00B223DD"/>
    <w:rsid w:val="00B22501"/>
    <w:rsid w:val="00B325B5"/>
    <w:rsid w:val="00B3377E"/>
    <w:rsid w:val="00B33A5F"/>
    <w:rsid w:val="00B34E0C"/>
    <w:rsid w:val="00B44625"/>
    <w:rsid w:val="00B45F8E"/>
    <w:rsid w:val="00B4615E"/>
    <w:rsid w:val="00B4769B"/>
    <w:rsid w:val="00B52285"/>
    <w:rsid w:val="00B52307"/>
    <w:rsid w:val="00B616D0"/>
    <w:rsid w:val="00B67537"/>
    <w:rsid w:val="00B7372A"/>
    <w:rsid w:val="00B74778"/>
    <w:rsid w:val="00B76645"/>
    <w:rsid w:val="00B77BB4"/>
    <w:rsid w:val="00B84377"/>
    <w:rsid w:val="00B861B1"/>
    <w:rsid w:val="00B93310"/>
    <w:rsid w:val="00BB6691"/>
    <w:rsid w:val="00BE1962"/>
    <w:rsid w:val="00BF0741"/>
    <w:rsid w:val="00C00549"/>
    <w:rsid w:val="00C02427"/>
    <w:rsid w:val="00C02683"/>
    <w:rsid w:val="00C02B1F"/>
    <w:rsid w:val="00C068DB"/>
    <w:rsid w:val="00C07A56"/>
    <w:rsid w:val="00C1251A"/>
    <w:rsid w:val="00C125AC"/>
    <w:rsid w:val="00C16235"/>
    <w:rsid w:val="00C225A8"/>
    <w:rsid w:val="00C23C24"/>
    <w:rsid w:val="00C252E7"/>
    <w:rsid w:val="00C25970"/>
    <w:rsid w:val="00C26514"/>
    <w:rsid w:val="00C344E6"/>
    <w:rsid w:val="00C35137"/>
    <w:rsid w:val="00C36493"/>
    <w:rsid w:val="00C45308"/>
    <w:rsid w:val="00C46F6F"/>
    <w:rsid w:val="00C5141A"/>
    <w:rsid w:val="00C52829"/>
    <w:rsid w:val="00C5582B"/>
    <w:rsid w:val="00C60627"/>
    <w:rsid w:val="00C708AB"/>
    <w:rsid w:val="00C727CD"/>
    <w:rsid w:val="00C73B0F"/>
    <w:rsid w:val="00C81DFB"/>
    <w:rsid w:val="00C83978"/>
    <w:rsid w:val="00C83FAE"/>
    <w:rsid w:val="00C90B3E"/>
    <w:rsid w:val="00C95E5C"/>
    <w:rsid w:val="00CA730C"/>
    <w:rsid w:val="00CB188C"/>
    <w:rsid w:val="00CB3E98"/>
    <w:rsid w:val="00CC0EB7"/>
    <w:rsid w:val="00CC7D0F"/>
    <w:rsid w:val="00CD2B65"/>
    <w:rsid w:val="00CD5475"/>
    <w:rsid w:val="00CD5A1A"/>
    <w:rsid w:val="00CE30D7"/>
    <w:rsid w:val="00CF3CD8"/>
    <w:rsid w:val="00CF405A"/>
    <w:rsid w:val="00D00146"/>
    <w:rsid w:val="00D0032A"/>
    <w:rsid w:val="00D0253A"/>
    <w:rsid w:val="00D114EC"/>
    <w:rsid w:val="00D11F16"/>
    <w:rsid w:val="00D132A8"/>
    <w:rsid w:val="00D14B9D"/>
    <w:rsid w:val="00D24457"/>
    <w:rsid w:val="00D249E1"/>
    <w:rsid w:val="00D32C17"/>
    <w:rsid w:val="00D37167"/>
    <w:rsid w:val="00D40B4E"/>
    <w:rsid w:val="00D412BB"/>
    <w:rsid w:val="00D43D88"/>
    <w:rsid w:val="00D46B79"/>
    <w:rsid w:val="00D46DBB"/>
    <w:rsid w:val="00D50CF4"/>
    <w:rsid w:val="00D5194C"/>
    <w:rsid w:val="00D52271"/>
    <w:rsid w:val="00D52C99"/>
    <w:rsid w:val="00D539EF"/>
    <w:rsid w:val="00D55244"/>
    <w:rsid w:val="00D57132"/>
    <w:rsid w:val="00D60B9A"/>
    <w:rsid w:val="00D62DA6"/>
    <w:rsid w:val="00D65A91"/>
    <w:rsid w:val="00D72B03"/>
    <w:rsid w:val="00D72DFC"/>
    <w:rsid w:val="00D731A8"/>
    <w:rsid w:val="00D748F4"/>
    <w:rsid w:val="00D842B7"/>
    <w:rsid w:val="00D850E5"/>
    <w:rsid w:val="00D8730E"/>
    <w:rsid w:val="00D922B6"/>
    <w:rsid w:val="00D93808"/>
    <w:rsid w:val="00D93F01"/>
    <w:rsid w:val="00D94A48"/>
    <w:rsid w:val="00DA5056"/>
    <w:rsid w:val="00DA7834"/>
    <w:rsid w:val="00DB0705"/>
    <w:rsid w:val="00DB0DDB"/>
    <w:rsid w:val="00DB3E7A"/>
    <w:rsid w:val="00DB7C57"/>
    <w:rsid w:val="00DC24B9"/>
    <w:rsid w:val="00DC299E"/>
    <w:rsid w:val="00DC32BB"/>
    <w:rsid w:val="00DC75BB"/>
    <w:rsid w:val="00DD0907"/>
    <w:rsid w:val="00DD5958"/>
    <w:rsid w:val="00DD6248"/>
    <w:rsid w:val="00DD7B45"/>
    <w:rsid w:val="00DF6428"/>
    <w:rsid w:val="00DF6724"/>
    <w:rsid w:val="00E0667C"/>
    <w:rsid w:val="00E12AAF"/>
    <w:rsid w:val="00E34F99"/>
    <w:rsid w:val="00E36EB3"/>
    <w:rsid w:val="00E3713C"/>
    <w:rsid w:val="00E41EDD"/>
    <w:rsid w:val="00E4522B"/>
    <w:rsid w:val="00E46DE2"/>
    <w:rsid w:val="00E470BF"/>
    <w:rsid w:val="00E54E92"/>
    <w:rsid w:val="00E65AA2"/>
    <w:rsid w:val="00E66C2E"/>
    <w:rsid w:val="00E82360"/>
    <w:rsid w:val="00E93CA1"/>
    <w:rsid w:val="00E93DBC"/>
    <w:rsid w:val="00E976DA"/>
    <w:rsid w:val="00E97DC8"/>
    <w:rsid w:val="00EA0F23"/>
    <w:rsid w:val="00EA110F"/>
    <w:rsid w:val="00EA1210"/>
    <w:rsid w:val="00EA27F3"/>
    <w:rsid w:val="00EA5EC2"/>
    <w:rsid w:val="00EA6920"/>
    <w:rsid w:val="00EB1F1D"/>
    <w:rsid w:val="00EB50D8"/>
    <w:rsid w:val="00EC4CBA"/>
    <w:rsid w:val="00EC54D8"/>
    <w:rsid w:val="00EC6CA3"/>
    <w:rsid w:val="00EC720F"/>
    <w:rsid w:val="00EC7CC1"/>
    <w:rsid w:val="00ED3794"/>
    <w:rsid w:val="00ED3836"/>
    <w:rsid w:val="00EE032D"/>
    <w:rsid w:val="00EE1FBD"/>
    <w:rsid w:val="00EE4974"/>
    <w:rsid w:val="00EF23B2"/>
    <w:rsid w:val="00EF3D15"/>
    <w:rsid w:val="00F006FC"/>
    <w:rsid w:val="00F11CEF"/>
    <w:rsid w:val="00F13E31"/>
    <w:rsid w:val="00F153B5"/>
    <w:rsid w:val="00F177A9"/>
    <w:rsid w:val="00F20174"/>
    <w:rsid w:val="00F21B7A"/>
    <w:rsid w:val="00F24FCC"/>
    <w:rsid w:val="00F30238"/>
    <w:rsid w:val="00F315E1"/>
    <w:rsid w:val="00F35B83"/>
    <w:rsid w:val="00F406BD"/>
    <w:rsid w:val="00F40AA1"/>
    <w:rsid w:val="00F53C09"/>
    <w:rsid w:val="00F556BC"/>
    <w:rsid w:val="00F57919"/>
    <w:rsid w:val="00F62BE2"/>
    <w:rsid w:val="00F63FA1"/>
    <w:rsid w:val="00F64331"/>
    <w:rsid w:val="00F7420E"/>
    <w:rsid w:val="00F80E3F"/>
    <w:rsid w:val="00F84662"/>
    <w:rsid w:val="00F84F2A"/>
    <w:rsid w:val="00F856E7"/>
    <w:rsid w:val="00F90198"/>
    <w:rsid w:val="00F93ECE"/>
    <w:rsid w:val="00FA7C9D"/>
    <w:rsid w:val="00FB1255"/>
    <w:rsid w:val="00FB5898"/>
    <w:rsid w:val="00FC2D23"/>
    <w:rsid w:val="00FC5B69"/>
    <w:rsid w:val="00FC7DC3"/>
    <w:rsid w:val="00FD2D39"/>
    <w:rsid w:val="00FD58E5"/>
    <w:rsid w:val="00FD5BA2"/>
    <w:rsid w:val="00FE57C8"/>
    <w:rsid w:val="00FF1687"/>
    <w:rsid w:val="00FF643F"/>
    <w:rsid w:val="00FF68CE"/>
    <w:rsid w:val="03B66880"/>
    <w:rsid w:val="05F17410"/>
    <w:rsid w:val="061834A6"/>
    <w:rsid w:val="083A46EE"/>
    <w:rsid w:val="08C473AA"/>
    <w:rsid w:val="0BDF4A25"/>
    <w:rsid w:val="0EA61495"/>
    <w:rsid w:val="0F0D1A26"/>
    <w:rsid w:val="0FDA17CC"/>
    <w:rsid w:val="10250975"/>
    <w:rsid w:val="117E1F84"/>
    <w:rsid w:val="125549F3"/>
    <w:rsid w:val="12EB53B3"/>
    <w:rsid w:val="13DA7FEC"/>
    <w:rsid w:val="15D867AD"/>
    <w:rsid w:val="165A6D70"/>
    <w:rsid w:val="168322DC"/>
    <w:rsid w:val="192A412B"/>
    <w:rsid w:val="1AE9767B"/>
    <w:rsid w:val="1B750A39"/>
    <w:rsid w:val="1E074505"/>
    <w:rsid w:val="1F5D6C30"/>
    <w:rsid w:val="245C52E2"/>
    <w:rsid w:val="24A46F21"/>
    <w:rsid w:val="25D87146"/>
    <w:rsid w:val="27032A98"/>
    <w:rsid w:val="278E13C2"/>
    <w:rsid w:val="2AEA3321"/>
    <w:rsid w:val="2D2C3259"/>
    <w:rsid w:val="2E735F31"/>
    <w:rsid w:val="2E9F6CD3"/>
    <w:rsid w:val="3018450B"/>
    <w:rsid w:val="30316D8E"/>
    <w:rsid w:val="31695E8A"/>
    <w:rsid w:val="34A9703A"/>
    <w:rsid w:val="39EE7259"/>
    <w:rsid w:val="43072855"/>
    <w:rsid w:val="44E126D9"/>
    <w:rsid w:val="454A68DE"/>
    <w:rsid w:val="45532705"/>
    <w:rsid w:val="4DAE69F0"/>
    <w:rsid w:val="4E6574E2"/>
    <w:rsid w:val="4FE4061C"/>
    <w:rsid w:val="50C25AB5"/>
    <w:rsid w:val="525A0961"/>
    <w:rsid w:val="5A907841"/>
    <w:rsid w:val="5D786D53"/>
    <w:rsid w:val="5F8F74AA"/>
    <w:rsid w:val="6239610B"/>
    <w:rsid w:val="665840D2"/>
    <w:rsid w:val="6E5B2C4D"/>
    <w:rsid w:val="71257208"/>
    <w:rsid w:val="77F9775E"/>
    <w:rsid w:val="78F8759C"/>
    <w:rsid w:val="7BC9569A"/>
    <w:rsid w:val="7F77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semiHidden/>
    <w:qFormat/>
    <w:uiPriority w:val="0"/>
    <w:pPr>
      <w:jc w:val="left"/>
    </w:pPr>
  </w:style>
  <w:style w:type="paragraph" w:styleId="19">
    <w:name w:val="HTML Address"/>
    <w:basedOn w:val="1"/>
    <w:qFormat/>
    <w:uiPriority w:val="0"/>
    <w:rPr>
      <w:i/>
      <w:iCs/>
    </w:rPr>
  </w:style>
  <w:style w:type="paragraph" w:styleId="20">
    <w:name w:val="toc 8"/>
    <w:basedOn w:val="11"/>
    <w:next w:val="1"/>
    <w:semiHidden/>
    <w:qFormat/>
    <w:uiPriority w:val="0"/>
  </w:style>
  <w:style w:type="paragraph" w:styleId="21">
    <w:name w:val="Date"/>
    <w:basedOn w:val="1"/>
    <w:next w:val="1"/>
    <w:qFormat/>
    <w:uiPriority w:val="0"/>
    <w:pPr>
      <w:ind w:left="100" w:leftChars="2500"/>
    </w:pPr>
  </w:style>
  <w:style w:type="paragraph" w:styleId="22">
    <w:name w:val="endnote text"/>
    <w:basedOn w:val="1"/>
    <w:semiHidden/>
    <w:qFormat/>
    <w:uiPriority w:val="0"/>
    <w:pPr>
      <w:snapToGrid w:val="0"/>
      <w:jc w:val="left"/>
    </w:p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ind w:right="210" w:rightChars="100"/>
      <w:jc w:val="righ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semiHidden/>
    <w:qFormat/>
    <w:uiPriority w:val="0"/>
    <w:pPr>
      <w:snapToGrid w:val="0"/>
      <w:jc w:val="left"/>
    </w:pPr>
    <w:rPr>
      <w:sz w:val="18"/>
      <w:szCs w:val="18"/>
    </w:rPr>
  </w:style>
  <w:style w:type="paragraph" w:styleId="27">
    <w:name w:val="toc 9"/>
    <w:basedOn w:val="20"/>
    <w:next w:val="1"/>
    <w:semiHidden/>
    <w:qFormat/>
    <w:uiPriority w:val="0"/>
  </w:style>
  <w:style w:type="paragraph" w:styleId="28">
    <w:name w:val="HTML Preformatted"/>
    <w:basedOn w:val="1"/>
    <w:qFormat/>
    <w:uiPriority w:val="0"/>
    <w:rPr>
      <w:rFonts w:ascii="Courier New" w:hAnsi="Courier New" w:cs="Courier New"/>
      <w:sz w:val="20"/>
      <w:szCs w:val="20"/>
    </w:rPr>
  </w:style>
  <w:style w:type="paragraph" w:styleId="29">
    <w:name w:val="Normal (Web)"/>
    <w:basedOn w:val="1"/>
    <w:qFormat/>
    <w:uiPriority w:val="0"/>
    <w:rPr>
      <w:sz w:val="24"/>
    </w:rPr>
  </w:style>
  <w:style w:type="paragraph" w:styleId="30">
    <w:name w:val="Title"/>
    <w:basedOn w:val="1"/>
    <w:qFormat/>
    <w:uiPriority w:val="0"/>
    <w:pPr>
      <w:spacing w:before="240" w:after="60"/>
      <w:jc w:val="center"/>
      <w:outlineLvl w:val="0"/>
    </w:pPr>
    <w:rPr>
      <w:rFonts w:ascii="Arial" w:hAnsi="Arial" w:cs="Arial"/>
      <w:b/>
      <w:bCs/>
      <w:sz w:val="32"/>
      <w:szCs w:val="32"/>
    </w:rPr>
  </w:style>
  <w:style w:type="paragraph" w:styleId="31">
    <w:name w:val="annotation subject"/>
    <w:basedOn w:val="18"/>
    <w:next w:val="18"/>
    <w:semiHidden/>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endnote reference"/>
    <w:semiHidden/>
    <w:qFormat/>
    <w:uiPriority w:val="0"/>
    <w:rPr>
      <w:vertAlign w:val="superscript"/>
    </w:rPr>
  </w:style>
  <w:style w:type="character" w:styleId="37">
    <w:name w:val="page number"/>
    <w:basedOn w:val="34"/>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Emphasis"/>
    <w:qFormat/>
    <w:uiPriority w:val="0"/>
    <w:rPr>
      <w:color w:val="CC0033"/>
    </w:rPr>
  </w:style>
  <w:style w:type="character" w:styleId="40">
    <w:name w:val="HTML Definition"/>
    <w:qFormat/>
    <w:uiPriority w:val="0"/>
    <w:rPr>
      <w:i/>
      <w:iCs/>
    </w:rPr>
  </w:style>
  <w:style w:type="character" w:styleId="41">
    <w:name w:val="HTML Typewriter"/>
    <w:qFormat/>
    <w:uiPriority w:val="0"/>
    <w:rPr>
      <w:rFonts w:ascii="Courier New" w:hAnsi="Courier New"/>
      <w:sz w:val="20"/>
      <w:szCs w:val="20"/>
    </w:rPr>
  </w:style>
  <w:style w:type="character" w:styleId="42">
    <w:name w:val="HTML Acronym"/>
    <w:basedOn w:val="34"/>
    <w:qFormat/>
    <w:uiPriority w:val="0"/>
  </w:style>
  <w:style w:type="character" w:styleId="43">
    <w:name w:val="HTML Variable"/>
    <w:qFormat/>
    <w:uiPriority w:val="0"/>
    <w:rPr>
      <w:i/>
      <w:iCs/>
    </w:rPr>
  </w:style>
  <w:style w:type="character" w:styleId="44">
    <w:name w:val="Hyperlink"/>
    <w:qFormat/>
    <w:uiPriority w:val="0"/>
    <w:rPr>
      <w:rFonts w:ascii="Times New Roman" w:hAnsi="Times New Roman" w:eastAsia="宋体"/>
      <w:color w:val="auto"/>
      <w:spacing w:val="0"/>
      <w:w w:val="100"/>
      <w:position w:val="0"/>
      <w:sz w:val="21"/>
      <w:u w:val="none"/>
      <w:vertAlign w:val="baseline"/>
    </w:rPr>
  </w:style>
  <w:style w:type="character" w:styleId="45">
    <w:name w:val="HTML Code"/>
    <w:qFormat/>
    <w:uiPriority w:val="0"/>
    <w:rPr>
      <w:rFonts w:ascii="Courier New" w:hAnsi="Courier New"/>
      <w:sz w:val="20"/>
      <w:szCs w:val="20"/>
    </w:rPr>
  </w:style>
  <w:style w:type="character" w:styleId="46">
    <w:name w:val="annotation reference"/>
    <w:semiHidden/>
    <w:qFormat/>
    <w:uiPriority w:val="0"/>
    <w:rPr>
      <w:sz w:val="21"/>
      <w:szCs w:val="21"/>
    </w:rPr>
  </w:style>
  <w:style w:type="character" w:styleId="47">
    <w:name w:val="HTML Cite"/>
    <w:qFormat/>
    <w:uiPriority w:val="0"/>
    <w:rPr>
      <w:i/>
      <w:iCs/>
    </w:rPr>
  </w:style>
  <w:style w:type="character" w:styleId="48">
    <w:name w:val="footnote reference"/>
    <w:semiHidden/>
    <w:qFormat/>
    <w:uiPriority w:val="0"/>
    <w:rPr>
      <w:vertAlign w:val="superscript"/>
    </w:rPr>
  </w:style>
  <w:style w:type="character" w:styleId="49">
    <w:name w:val="HTML Keyboard"/>
    <w:qFormat/>
    <w:uiPriority w:val="0"/>
    <w:rPr>
      <w:rFonts w:ascii="Courier New" w:hAnsi="Courier New"/>
      <w:sz w:val="20"/>
      <w:szCs w:val="20"/>
    </w:rPr>
  </w:style>
  <w:style w:type="character" w:styleId="50">
    <w:name w:val="HTML Sample"/>
    <w:qFormat/>
    <w:uiPriority w:val="0"/>
    <w:rPr>
      <w:rFonts w:ascii="Courier New" w:hAnsi="Courier New"/>
    </w:rPr>
  </w:style>
  <w:style w:type="character" w:customStyle="1" w:styleId="51">
    <w:name w:val="个人答复风格"/>
    <w:qFormat/>
    <w:uiPriority w:val="0"/>
    <w:rPr>
      <w:rFonts w:ascii="Arial" w:hAnsi="Arial" w:eastAsia="宋体" w:cs="Arial"/>
      <w:color w:val="auto"/>
      <w:sz w:val="20"/>
    </w:rPr>
  </w:style>
  <w:style w:type="character" w:customStyle="1" w:styleId="52">
    <w:name w:val="发布"/>
    <w:qFormat/>
    <w:uiPriority w:val="0"/>
    <w:rPr>
      <w:rFonts w:ascii="黑体" w:eastAsia="黑体"/>
      <w:spacing w:val="22"/>
      <w:w w:val="100"/>
      <w:position w:val="3"/>
      <w:sz w:val="28"/>
    </w:rPr>
  </w:style>
  <w:style w:type="character" w:customStyle="1" w:styleId="53">
    <w:name w:val="个人撰写风格"/>
    <w:qFormat/>
    <w:uiPriority w:val="0"/>
    <w:rPr>
      <w:rFonts w:ascii="Arial" w:hAnsi="Arial" w:eastAsia="宋体" w:cs="Arial"/>
      <w:color w:val="auto"/>
      <w:sz w:val="20"/>
    </w:rPr>
  </w:style>
  <w:style w:type="character" w:customStyle="1" w:styleId="54">
    <w:name w:val="段 Char"/>
    <w:link w:val="55"/>
    <w:qFormat/>
    <w:uiPriority w:val="0"/>
    <w:rPr>
      <w:rFonts w:ascii="宋体"/>
      <w:sz w:val="21"/>
      <w:lang w:val="en-US" w:eastAsia="zh-CN" w:bidi="ar-SA"/>
    </w:rPr>
  </w:style>
  <w:style w:type="paragraph" w:customStyle="1" w:styleId="55">
    <w:name w:val="段"/>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6">
    <w:name w:val="g1481"/>
    <w:qFormat/>
    <w:uiPriority w:val="0"/>
    <w:rPr>
      <w:color w:val="5F897B"/>
      <w:sz w:val="21"/>
      <w:szCs w:val="21"/>
    </w:rPr>
  </w:style>
  <w:style w:type="character" w:customStyle="1" w:styleId="57">
    <w:name w:val="css1"/>
    <w:qFormat/>
    <w:uiPriority w:val="0"/>
    <w:rPr>
      <w:rFonts w:hint="default" w:ascii="Arial" w:hAnsi="Arial" w:cs="Arial"/>
      <w:sz w:val="24"/>
      <w:szCs w:val="24"/>
    </w:rPr>
  </w:style>
  <w:style w:type="paragraph" w:customStyle="1" w:styleId="58">
    <w:name w:val="实施日期"/>
    <w:basedOn w:val="59"/>
    <w:qFormat/>
    <w:uiPriority w:val="0"/>
    <w:pPr>
      <w:framePr w:hSpace="0" w:wrap="around" w:xAlign="right"/>
      <w:jc w:val="right"/>
    </w:pPr>
  </w:style>
  <w:style w:type="paragraph" w:customStyle="1" w:styleId="5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0">
    <w:name w:val="_Style 841"/>
    <w:basedOn w:val="1"/>
    <w:next w:val="29"/>
    <w:qFormat/>
    <w:uiPriority w:val="0"/>
    <w:rPr>
      <w:sz w:val="24"/>
      <w:szCs w:val="20"/>
    </w:rPr>
  </w:style>
  <w:style w:type="paragraph" w:customStyle="1" w:styleId="61">
    <w:name w:val="图表脚注"/>
    <w:next w:val="5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2">
    <w:name w:val="一级条标题"/>
    <w:basedOn w:val="63"/>
    <w:next w:val="55"/>
    <w:qFormat/>
    <w:uiPriority w:val="0"/>
    <w:pPr>
      <w:tabs>
        <w:tab w:val="left" w:pos="360"/>
      </w:tabs>
      <w:spacing w:beforeLines="0" w:afterLines="0"/>
      <w:outlineLvl w:val="2"/>
    </w:pPr>
  </w:style>
  <w:style w:type="paragraph" w:customStyle="1" w:styleId="63">
    <w:name w:val="章标题"/>
    <w:next w:val="55"/>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64">
    <w:name w:val="列项——"/>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65">
    <w:name w:val="三级无标题条"/>
    <w:basedOn w:val="1"/>
    <w:qFormat/>
    <w:uiPriority w:val="0"/>
  </w:style>
  <w:style w:type="paragraph" w:customStyle="1" w:styleId="66">
    <w:name w:val="附录五级条标题"/>
    <w:basedOn w:val="67"/>
    <w:next w:val="55"/>
    <w:qFormat/>
    <w:uiPriority w:val="0"/>
    <w:pPr>
      <w:tabs>
        <w:tab w:val="left" w:pos="360"/>
      </w:tabs>
      <w:outlineLvl w:val="6"/>
    </w:pPr>
  </w:style>
  <w:style w:type="paragraph" w:customStyle="1" w:styleId="67">
    <w:name w:val="附录四级条标题"/>
    <w:basedOn w:val="68"/>
    <w:next w:val="55"/>
    <w:qFormat/>
    <w:uiPriority w:val="0"/>
    <w:pPr>
      <w:tabs>
        <w:tab w:val="left" w:pos="360"/>
      </w:tabs>
      <w:outlineLvl w:val="5"/>
    </w:pPr>
  </w:style>
  <w:style w:type="paragraph" w:customStyle="1" w:styleId="68">
    <w:name w:val="附录三级条标题"/>
    <w:basedOn w:val="69"/>
    <w:next w:val="55"/>
    <w:qFormat/>
    <w:uiPriority w:val="0"/>
    <w:pPr>
      <w:tabs>
        <w:tab w:val="left" w:pos="360"/>
      </w:tabs>
      <w:outlineLvl w:val="4"/>
    </w:pPr>
  </w:style>
  <w:style w:type="paragraph" w:customStyle="1" w:styleId="69">
    <w:name w:val="附录二级条标题"/>
    <w:basedOn w:val="70"/>
    <w:next w:val="55"/>
    <w:qFormat/>
    <w:uiPriority w:val="0"/>
    <w:pPr>
      <w:tabs>
        <w:tab w:val="left" w:pos="360"/>
      </w:tabs>
      <w:outlineLvl w:val="3"/>
    </w:pPr>
  </w:style>
  <w:style w:type="paragraph" w:customStyle="1" w:styleId="70">
    <w:name w:val="附录一级条标题"/>
    <w:basedOn w:val="71"/>
    <w:next w:val="55"/>
    <w:qFormat/>
    <w:uiPriority w:val="0"/>
    <w:pPr>
      <w:tabs>
        <w:tab w:val="left" w:pos="360"/>
      </w:tabs>
      <w:autoSpaceDN w:val="0"/>
      <w:spacing w:beforeLines="0" w:afterLines="0"/>
      <w:outlineLvl w:val="2"/>
    </w:pPr>
  </w:style>
  <w:style w:type="paragraph" w:customStyle="1" w:styleId="71">
    <w:name w:val="附录章标题"/>
    <w:next w:val="55"/>
    <w:qFormat/>
    <w:uiPriority w:val="0"/>
    <w:pPr>
      <w:tabs>
        <w:tab w:val="left" w:pos="360"/>
      </w:tabs>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2">
    <w:name w:val="附录表标题"/>
    <w:next w:val="55"/>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73">
    <w:name w:val="无标题条"/>
    <w:next w:val="55"/>
    <w:qFormat/>
    <w:uiPriority w:val="0"/>
    <w:pPr>
      <w:jc w:val="both"/>
    </w:pPr>
    <w:rPr>
      <w:rFonts w:ascii="Times New Roman" w:hAnsi="Times New Roman" w:eastAsia="宋体" w:cs="Times New Roman"/>
      <w:sz w:val="21"/>
      <w:lang w:val="en-US" w:eastAsia="zh-CN" w:bidi="ar-SA"/>
    </w:rPr>
  </w:style>
  <w:style w:type="paragraph" w:customStyle="1" w:styleId="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5">
    <w:name w:val="条4"/>
    <w:basedOn w:val="1"/>
    <w:next w:val="1"/>
    <w:qFormat/>
    <w:uiPriority w:val="0"/>
    <w:pPr>
      <w:outlineLvl w:val="1"/>
    </w:pPr>
    <w:rPr>
      <w:rFonts w:ascii="黑体" w:eastAsia="黑体"/>
      <w:kern w:val="21"/>
      <w:szCs w:val="20"/>
    </w:rPr>
  </w:style>
  <w:style w:type="paragraph" w:customStyle="1" w:styleId="7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7">
    <w:name w:val="一级无标题条"/>
    <w:basedOn w:val="1"/>
    <w:qFormat/>
    <w:uiPriority w:val="0"/>
  </w:style>
  <w:style w:type="paragraph" w:customStyle="1" w:styleId="7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0">
    <w:name w:val="标准书眉一"/>
    <w:qFormat/>
    <w:uiPriority w:val="0"/>
    <w:pPr>
      <w:jc w:val="both"/>
    </w:pPr>
    <w:rPr>
      <w:rFonts w:ascii="Times New Roman" w:hAnsi="Times New Roman" w:eastAsia="宋体" w:cs="Times New Roman"/>
      <w:lang w:val="en-US" w:eastAsia="zh-CN" w:bidi="ar-SA"/>
    </w:rPr>
  </w:style>
  <w:style w:type="paragraph" w:customStyle="1" w:styleId="81">
    <w:name w:val="封面标准代替信息"/>
    <w:basedOn w:val="82"/>
    <w:qFormat/>
    <w:uiPriority w:val="0"/>
    <w:pPr>
      <w:framePr w:wrap="around"/>
      <w:spacing w:before="57"/>
    </w:pPr>
    <w:rPr>
      <w:rFonts w:ascii="宋体"/>
      <w:sz w:val="21"/>
    </w:rPr>
  </w:style>
  <w:style w:type="paragraph" w:customStyle="1" w:styleId="82">
    <w:name w:val="封面标准号2"/>
    <w:basedOn w:val="83"/>
    <w:qFormat/>
    <w:uiPriority w:val="0"/>
    <w:pPr>
      <w:framePr w:w="9138" w:h="1244" w:hRule="exact" w:wrap="around" w:vAnchor="page" w:hAnchor="margin" w:y="2908"/>
      <w:adjustRightInd w:val="0"/>
      <w:spacing w:before="357" w:line="280" w:lineRule="exact"/>
    </w:p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5">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86">
    <w:name w:val="条文脚注"/>
    <w:basedOn w:val="26"/>
    <w:qFormat/>
    <w:uiPriority w:val="0"/>
    <w:pPr>
      <w:ind w:left="780" w:leftChars="200" w:hanging="360" w:hangingChars="200"/>
      <w:jc w:val="both"/>
    </w:pPr>
    <w:rPr>
      <w:rFonts w:ascii="宋体"/>
    </w:rPr>
  </w:style>
  <w:style w:type="paragraph" w:customStyle="1" w:styleId="87">
    <w:name w:val="_Style 87"/>
    <w:basedOn w:val="1"/>
    <w:next w:val="29"/>
    <w:qFormat/>
    <w:uiPriority w:val="0"/>
    <w:rPr>
      <w:sz w:val="24"/>
    </w:rPr>
  </w:style>
  <w:style w:type="paragraph" w:customStyle="1" w:styleId="88">
    <w:name w:val="五级条标题"/>
    <w:basedOn w:val="89"/>
    <w:next w:val="55"/>
    <w:qFormat/>
    <w:uiPriority w:val="0"/>
    <w:pPr>
      <w:tabs>
        <w:tab w:val="left" w:pos="360"/>
      </w:tabs>
      <w:outlineLvl w:val="6"/>
    </w:pPr>
  </w:style>
  <w:style w:type="paragraph" w:customStyle="1" w:styleId="89">
    <w:name w:val="四级条标题"/>
    <w:basedOn w:val="90"/>
    <w:next w:val="55"/>
    <w:qFormat/>
    <w:uiPriority w:val="0"/>
    <w:pPr>
      <w:tabs>
        <w:tab w:val="left" w:pos="360"/>
      </w:tabs>
      <w:outlineLvl w:val="5"/>
    </w:pPr>
  </w:style>
  <w:style w:type="paragraph" w:customStyle="1" w:styleId="90">
    <w:name w:val="三级条标题"/>
    <w:basedOn w:val="91"/>
    <w:next w:val="55"/>
    <w:qFormat/>
    <w:uiPriority w:val="0"/>
    <w:pPr>
      <w:tabs>
        <w:tab w:val="left" w:pos="360"/>
      </w:tabs>
      <w:outlineLvl w:val="4"/>
    </w:pPr>
  </w:style>
  <w:style w:type="paragraph" w:customStyle="1" w:styleId="91">
    <w:name w:val="二级条标题"/>
    <w:basedOn w:val="62"/>
    <w:next w:val="55"/>
    <w:qFormat/>
    <w:uiPriority w:val="0"/>
    <w:pPr>
      <w:outlineLvl w:val="3"/>
    </w:pPr>
  </w:style>
  <w:style w:type="paragraph" w:customStyle="1" w:styleId="92">
    <w:name w:val="条1"/>
    <w:basedOn w:val="1"/>
    <w:next w:val="1"/>
    <w:qFormat/>
    <w:uiPriority w:val="0"/>
    <w:pPr>
      <w:outlineLvl w:val="1"/>
    </w:pPr>
    <w:rPr>
      <w:rFonts w:ascii="黑体" w:eastAsia="黑体"/>
      <w:kern w:val="21"/>
      <w:szCs w:val="20"/>
    </w:rPr>
  </w:style>
  <w:style w:type="paragraph" w:customStyle="1" w:styleId="9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4">
    <w:name w:val="正文图标题"/>
    <w:next w:val="55"/>
    <w:qFormat/>
    <w:uiPriority w:val="0"/>
    <w:pPr>
      <w:tabs>
        <w:tab w:val="left" w:pos="360"/>
      </w:tabs>
      <w:jc w:val="center"/>
    </w:pPr>
    <w:rPr>
      <w:rFonts w:ascii="黑体" w:hAnsi="Times New Roman" w:eastAsia="黑体" w:cs="Times New Roman"/>
      <w:sz w:val="21"/>
      <w:lang w:val="en-US" w:eastAsia="zh-CN" w:bidi="ar-SA"/>
    </w:rPr>
  </w:style>
  <w:style w:type="paragraph" w:customStyle="1" w:styleId="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6">
    <w:name w:val="五级无标题条"/>
    <w:basedOn w:val="1"/>
    <w:qFormat/>
    <w:uiPriority w:val="0"/>
  </w:style>
  <w:style w:type="paragraph" w:customStyle="1" w:styleId="97">
    <w:name w:val="四级无标题条"/>
    <w:basedOn w:val="1"/>
    <w:qFormat/>
    <w:uiPriority w:val="0"/>
  </w:style>
  <w:style w:type="paragraph" w:customStyle="1" w:styleId="98">
    <w:name w:val="正文表标题"/>
    <w:next w:val="55"/>
    <w:qFormat/>
    <w:uiPriority w:val="0"/>
    <w:pPr>
      <w:tabs>
        <w:tab w:val="left" w:pos="360"/>
      </w:tabs>
      <w:jc w:val="center"/>
    </w:pPr>
    <w:rPr>
      <w:rFonts w:ascii="黑体" w:hAnsi="Times New Roman" w:eastAsia="黑体" w:cs="Times New Roman"/>
      <w:sz w:val="21"/>
      <w:lang w:val="en-US" w:eastAsia="zh-CN" w:bidi="ar-SA"/>
    </w:rPr>
  </w:style>
  <w:style w:type="paragraph" w:customStyle="1" w:styleId="99">
    <w:name w:val="注："/>
    <w:next w:val="55"/>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100">
    <w:name w:val="注×："/>
    <w:qFormat/>
    <w:uiPriority w:val="0"/>
    <w:pPr>
      <w:widowControl w:val="0"/>
      <w:tabs>
        <w:tab w:val="left" w:pos="360"/>
        <w:tab w:val="left" w:pos="630"/>
      </w:tabs>
      <w:autoSpaceDE w:val="0"/>
      <w:autoSpaceDN w:val="0"/>
      <w:jc w:val="both"/>
    </w:pPr>
    <w:rPr>
      <w:rFonts w:ascii="宋体" w:hAnsi="Times New Roman" w:eastAsia="宋体" w:cs="Times New Roman"/>
      <w:sz w:val="18"/>
      <w:lang w:val="en-US" w:eastAsia="zh-CN" w:bidi="ar-SA"/>
    </w:rPr>
  </w:style>
  <w:style w:type="paragraph" w:customStyle="1" w:styleId="10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2">
    <w:name w:val="参考文献、索引标题"/>
    <w:basedOn w:val="103"/>
    <w:next w:val="1"/>
    <w:qFormat/>
    <w:uiPriority w:val="0"/>
    <w:pPr>
      <w:tabs>
        <w:tab w:val="left" w:pos="360"/>
      </w:tabs>
      <w:spacing w:after="200"/>
    </w:pPr>
    <w:rPr>
      <w:sz w:val="21"/>
    </w:rPr>
  </w:style>
  <w:style w:type="paragraph" w:customStyle="1" w:styleId="10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04">
    <w:name w:val="条3"/>
    <w:basedOn w:val="1"/>
    <w:next w:val="1"/>
    <w:qFormat/>
    <w:uiPriority w:val="0"/>
    <w:pPr>
      <w:outlineLvl w:val="1"/>
    </w:pPr>
    <w:rPr>
      <w:rFonts w:ascii="黑体" w:eastAsia="黑体"/>
      <w:kern w:val="21"/>
      <w:szCs w:val="20"/>
    </w:rPr>
  </w:style>
  <w:style w:type="paragraph" w:customStyle="1" w:styleId="10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6">
    <w:name w:val="条5"/>
    <w:basedOn w:val="1"/>
    <w:next w:val="1"/>
    <w:qFormat/>
    <w:uiPriority w:val="0"/>
    <w:pPr>
      <w:outlineLvl w:val="1"/>
    </w:pPr>
    <w:rPr>
      <w:rFonts w:ascii="黑体" w:eastAsia="黑体"/>
      <w:kern w:val="21"/>
      <w:szCs w:val="20"/>
    </w:rPr>
  </w:style>
  <w:style w:type="paragraph" w:customStyle="1" w:styleId="107">
    <w:name w:val="标准书眉_偶数页"/>
    <w:basedOn w:val="108"/>
    <w:next w:val="1"/>
    <w:qFormat/>
    <w:uiPriority w:val="0"/>
    <w:pPr>
      <w:tabs>
        <w:tab w:val="center" w:pos="4154"/>
        <w:tab w:val="right" w:pos="8306"/>
      </w:tabs>
      <w:jc w:val="left"/>
    </w:pPr>
  </w:style>
  <w:style w:type="paragraph" w:customStyle="1" w:styleId="10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1">
    <w:name w:val="二级无标题条"/>
    <w:basedOn w:val="1"/>
    <w:qFormat/>
    <w:uiPriority w:val="0"/>
  </w:style>
  <w:style w:type="paragraph" w:customStyle="1" w:styleId="112">
    <w:name w:val="发布部门"/>
    <w:next w:val="5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1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附录标识"/>
    <w:basedOn w:val="103"/>
    <w:qFormat/>
    <w:uiPriority w:val="0"/>
    <w:pPr>
      <w:tabs>
        <w:tab w:val="left" w:pos="6405"/>
      </w:tabs>
      <w:spacing w:after="200"/>
    </w:pPr>
    <w:rPr>
      <w:sz w:val="21"/>
    </w:rPr>
  </w:style>
  <w:style w:type="paragraph" w:customStyle="1" w:styleId="117">
    <w:name w:val="_Style 84"/>
    <w:basedOn w:val="1"/>
    <w:next w:val="29"/>
    <w:qFormat/>
    <w:uiPriority w:val="0"/>
    <w:rPr>
      <w:sz w:val="24"/>
    </w:rPr>
  </w:style>
  <w:style w:type="paragraph" w:customStyle="1" w:styleId="118">
    <w:name w:val="章"/>
    <w:basedOn w:val="1"/>
    <w:next w:val="1"/>
    <w:qFormat/>
    <w:uiPriority w:val="0"/>
    <w:pPr>
      <w:adjustRightInd w:val="0"/>
      <w:spacing w:before="160" w:after="160"/>
      <w:outlineLvl w:val="0"/>
    </w:pPr>
    <w:rPr>
      <w:rFonts w:ascii="黑体" w:eastAsia="黑体"/>
      <w:kern w:val="21"/>
      <w:szCs w:val="20"/>
    </w:rPr>
  </w:style>
  <w:style w:type="paragraph" w:customStyle="1" w:styleId="119">
    <w:name w:val="附录图标题"/>
    <w:next w:val="55"/>
    <w:qFormat/>
    <w:uiPriority w:val="0"/>
    <w:pPr>
      <w:jc w:val="center"/>
    </w:pPr>
    <w:rPr>
      <w:rFonts w:ascii="黑体" w:hAnsi="Times New Roman" w:eastAsia="黑体" w:cs="Times New Roman"/>
      <w:sz w:val="21"/>
      <w:lang w:val="en-US" w:eastAsia="zh-CN" w:bidi="ar-SA"/>
    </w:rPr>
  </w:style>
  <w:style w:type="paragraph" w:customStyle="1" w:styleId="120">
    <w:name w:val="目次、标准名称标题"/>
    <w:basedOn w:val="103"/>
    <w:next w:val="55"/>
    <w:qFormat/>
    <w:uiPriority w:val="0"/>
    <w:pPr>
      <w:spacing w:line="460" w:lineRule="exact"/>
    </w:pPr>
  </w:style>
  <w:style w:type="paragraph" w:customStyle="1" w:styleId="12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2">
    <w:name w:val="其他发布部门"/>
    <w:basedOn w:val="112"/>
    <w:qFormat/>
    <w:uiPriority w:val="0"/>
    <w:pPr>
      <w:framePr w:wrap="around"/>
      <w:spacing w:line="0" w:lineRule="atLeast"/>
    </w:pPr>
    <w:rPr>
      <w:rFonts w:ascii="黑体" w:eastAsia="黑体"/>
      <w:b w:val="0"/>
    </w:rPr>
  </w:style>
  <w:style w:type="paragraph" w:customStyle="1" w:styleId="123">
    <w:name w:val="示例"/>
    <w:next w:val="55"/>
    <w:qFormat/>
    <w:uiPriority w:val="0"/>
    <w:pPr>
      <w:tabs>
        <w:tab w:val="left" w:pos="360"/>
      </w:tabs>
      <w:jc w:val="both"/>
    </w:pPr>
    <w:rPr>
      <w:rFonts w:ascii="宋体" w:hAnsi="Times New Roman" w:eastAsia="宋体" w:cs="Times New Roman"/>
      <w:sz w:val="18"/>
      <w:lang w:val="en-US" w:eastAsia="zh-CN" w:bidi="ar-SA"/>
    </w:rPr>
  </w:style>
  <w:style w:type="paragraph" w:customStyle="1" w:styleId="124">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character" w:customStyle="1" w:styleId="125">
    <w:name w:val="Body text|2_"/>
    <w:basedOn w:val="34"/>
    <w:link w:val="126"/>
    <w:qFormat/>
    <w:locked/>
    <w:uiPriority w:val="0"/>
    <w:rPr>
      <w:rFonts w:ascii="PMingLiU" w:hAnsi="PMingLiU" w:eastAsia="PMingLiU" w:cs="PMingLiU"/>
      <w:color w:val="000000"/>
      <w:sz w:val="24"/>
      <w:szCs w:val="24"/>
      <w:shd w:val="clear" w:color="auto" w:fill="FFFFFF"/>
      <w:lang w:val="zh-CN" w:bidi="zh-CN"/>
    </w:rPr>
  </w:style>
  <w:style w:type="paragraph" w:customStyle="1" w:styleId="126">
    <w:name w:val="Body text|22"/>
    <w:basedOn w:val="1"/>
    <w:link w:val="125"/>
    <w:qFormat/>
    <w:uiPriority w:val="0"/>
    <w:pPr>
      <w:widowControl/>
      <w:shd w:val="clear" w:color="auto" w:fill="FFFFFF"/>
      <w:spacing w:before="140" w:after="640" w:line="310" w:lineRule="exact"/>
      <w:ind w:hanging="480"/>
      <w:jc w:val="left"/>
    </w:pPr>
    <w:rPr>
      <w:rFonts w:ascii="PMingLiU" w:hAnsi="PMingLiU" w:eastAsia="PMingLiU" w:cs="PMingLiU"/>
      <w:color w:val="000000"/>
      <w:kern w:val="0"/>
      <w:sz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6</Pages>
  <Words>2161</Words>
  <Characters>1118</Characters>
  <Lines>9</Lines>
  <Paragraphs>6</Paragraphs>
  <TotalTime>3</TotalTime>
  <ScaleCrop>false</ScaleCrop>
  <LinksUpToDate>false</LinksUpToDate>
  <CharactersWithSpaces>3273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2017-09-25T23:54:00Z</dcterms:created>
  <dc:creator>Fan</dc:creator>
  <cp:lastModifiedBy>admin</cp:lastModifiedBy>
  <cp:lastPrinted>2010-04-10T05:09:00Z</cp:lastPrinted>
  <dcterms:modified xsi:type="dcterms:W3CDTF">2021-11-26T11:02:03Z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33F67D49849E4D4E9D141C81C2DD71DA</vt:lpwstr>
  </property>
</Properties>
</file>