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0215" w:rsidRDefault="00715A1A">
      <w:pPr>
        <w:ind w:firstLineChars="100" w:firstLine="210"/>
        <w:rPr>
          <w:rStyle w:val="NormalCharacter"/>
          <w:rFonts w:ascii="黑体" w:eastAsia="黑体"/>
          <w:sz w:val="84"/>
          <w:szCs w:val="84"/>
        </w:rPr>
      </w:pPr>
      <w:r>
        <w:rPr>
          <w:rStyle w:val="NormalCharacter"/>
        </w:rPr>
        <w:t xml:space="preserve">                                                     </w:t>
      </w:r>
      <w:r w:rsidR="001D6130">
        <w:rPr>
          <w:rStyle w:val="NormalCharacter"/>
          <w:rFonts w:hint="eastAsia"/>
        </w:rPr>
        <w:t xml:space="preserve">     </w:t>
      </w:r>
      <w:r>
        <w:rPr>
          <w:rStyle w:val="NormalCharacter"/>
        </w:rPr>
        <w:t xml:space="preserve"> </w:t>
      </w:r>
      <w:r>
        <w:rPr>
          <w:rStyle w:val="NormalCharacter"/>
          <w:rFonts w:ascii="黑体" w:eastAsia="黑体"/>
          <w:sz w:val="84"/>
          <w:szCs w:val="84"/>
        </w:rPr>
        <w:t>Q/</w:t>
      </w:r>
      <w:r w:rsidR="00C960FE">
        <w:rPr>
          <w:rStyle w:val="NormalCharacter"/>
          <w:rFonts w:ascii="黑体" w:eastAsia="黑体"/>
          <w:sz w:val="84"/>
          <w:szCs w:val="84"/>
        </w:rPr>
        <w:t>QHYY</w:t>
      </w:r>
    </w:p>
    <w:p w:rsidR="00680215" w:rsidRDefault="00715A1A">
      <w:pPr>
        <w:pStyle w:val="BodyText"/>
        <w:jc w:val="distribute"/>
        <w:rPr>
          <w:rStyle w:val="NormalCharacter"/>
          <w:rFonts w:ascii="黑体" w:eastAsia="黑体" w:hAnsi="黑体"/>
          <w:b w:val="0"/>
          <w:kern w:val="20"/>
          <w:sz w:val="52"/>
          <w:szCs w:val="52"/>
        </w:rPr>
      </w:pPr>
      <w:r>
        <w:rPr>
          <w:rStyle w:val="NormalCharacter"/>
          <w:rFonts w:ascii="黑体" w:eastAsia="黑体" w:hAnsi="黑体"/>
          <w:b w:val="0"/>
          <w:kern w:val="20"/>
          <w:sz w:val="52"/>
          <w:szCs w:val="52"/>
        </w:rPr>
        <w:t>贵州省食品安全企业标准</w:t>
      </w:r>
    </w:p>
    <w:p w:rsidR="00680215" w:rsidRDefault="00680215">
      <w:pPr>
        <w:ind w:firstLineChars="2600" w:firstLine="6240"/>
        <w:rPr>
          <w:rStyle w:val="NormalCharacter"/>
          <w:rFonts w:ascii="黑体" w:eastAsia="黑体"/>
          <w:sz w:val="24"/>
        </w:rPr>
      </w:pPr>
    </w:p>
    <w:p w:rsidR="00680215" w:rsidRDefault="00715A1A">
      <w:pPr>
        <w:jc w:val="right"/>
        <w:rPr>
          <w:rStyle w:val="NormalCharacter"/>
          <w:rFonts w:ascii="黑体" w:eastAsia="黑体"/>
          <w:sz w:val="24"/>
        </w:rPr>
      </w:pPr>
      <w:r>
        <w:rPr>
          <w:rStyle w:val="NormalCharacter"/>
          <w:rFonts w:ascii="黑体" w:eastAsia="黑体"/>
          <w:sz w:val="24"/>
        </w:rPr>
        <w:t>Q/</w:t>
      </w:r>
      <w:r w:rsidR="00C960FE">
        <w:rPr>
          <w:rStyle w:val="NormalCharacter"/>
          <w:rFonts w:ascii="黑体" w:eastAsia="黑体"/>
          <w:sz w:val="24"/>
        </w:rPr>
        <w:t>QHYY</w:t>
      </w:r>
      <w:r>
        <w:rPr>
          <w:rStyle w:val="NormalCharacter"/>
          <w:rFonts w:ascii="黑体" w:eastAsia="黑体"/>
          <w:sz w:val="24"/>
        </w:rPr>
        <w:t xml:space="preserve"> 0001S-2021</w:t>
      </w:r>
    </w:p>
    <w:p w:rsidR="00680215" w:rsidRDefault="00821D23">
      <w:pPr>
        <w:rPr>
          <w:rStyle w:val="NormalCharacter"/>
          <w:sz w:val="28"/>
        </w:rPr>
      </w:pPr>
      <w:r w:rsidRPr="00821D23">
        <w:pict>
          <v:shape id="_x0000_s1030" style="position:absolute;left:0;text-align:left;margin-left:0;margin-top:0;width:50pt;height:50pt;z-index:251656192;visibility:hidden" coordsize="21600,21600" o:spt="100" adj="0,,0" path="">
            <v:stroke joinstyle="miter"/>
            <v:formulas/>
            <v:path o:connecttype="segments"/>
            <o:lock v:ext="edit" selection="t"/>
          </v:shape>
        </w:pict>
      </w:r>
      <w:r w:rsidRPr="00821D23">
        <w:pict>
          <v:line id="_x0000_s1026" style="position:absolute;left:0;text-align:left;z-index:251657216" from="0,0" to="453.25pt,0" strokeweight="1pt"/>
        </w:pict>
      </w:r>
    </w:p>
    <w:p w:rsidR="00680215" w:rsidRDefault="00680215">
      <w:pPr>
        <w:rPr>
          <w:rStyle w:val="NormalCharacter"/>
          <w:sz w:val="28"/>
        </w:rPr>
      </w:pPr>
    </w:p>
    <w:p w:rsidR="00680215" w:rsidRDefault="00680215">
      <w:pPr>
        <w:rPr>
          <w:rStyle w:val="NormalCharacter"/>
          <w:sz w:val="28"/>
        </w:rPr>
      </w:pPr>
    </w:p>
    <w:p w:rsidR="00680215" w:rsidRDefault="00680215">
      <w:pPr>
        <w:rPr>
          <w:rStyle w:val="NormalCharacter"/>
          <w:b/>
          <w:bCs/>
          <w:sz w:val="28"/>
        </w:rPr>
      </w:pPr>
    </w:p>
    <w:p w:rsidR="00680215" w:rsidRDefault="00A63F96">
      <w:pPr>
        <w:spacing w:before="312" w:after="312"/>
        <w:jc w:val="center"/>
        <w:rPr>
          <w:rStyle w:val="NormalCharacter"/>
          <w:rFonts w:ascii="黑体" w:eastAsia="黑体" w:hAnsi="宋体"/>
          <w:bCs/>
          <w:sz w:val="52"/>
          <w:szCs w:val="52"/>
        </w:rPr>
      </w:pPr>
      <w:r>
        <w:rPr>
          <w:rStyle w:val="NormalCharacter"/>
          <w:rFonts w:ascii="黑体" w:eastAsia="黑体" w:hAnsi="黑体"/>
          <w:sz w:val="52"/>
          <w:szCs w:val="52"/>
        </w:rPr>
        <w:t>黔合玉液酒</w:t>
      </w:r>
    </w:p>
    <w:p w:rsidR="00680215" w:rsidRDefault="00680215">
      <w:pPr>
        <w:rPr>
          <w:rStyle w:val="NormalCharacter"/>
          <w:sz w:val="44"/>
        </w:rPr>
      </w:pPr>
    </w:p>
    <w:p w:rsidR="00680215" w:rsidRDefault="00680215">
      <w:pPr>
        <w:rPr>
          <w:rStyle w:val="NormalCharacter"/>
          <w:sz w:val="44"/>
        </w:rPr>
      </w:pPr>
    </w:p>
    <w:p w:rsidR="00680215" w:rsidRDefault="00680215">
      <w:pPr>
        <w:rPr>
          <w:rStyle w:val="NormalCharacter"/>
          <w:sz w:val="44"/>
        </w:rPr>
      </w:pPr>
    </w:p>
    <w:p w:rsidR="00680215" w:rsidRDefault="00680215">
      <w:pPr>
        <w:rPr>
          <w:rStyle w:val="NormalCharacter"/>
          <w:sz w:val="28"/>
        </w:rPr>
      </w:pPr>
    </w:p>
    <w:p w:rsidR="00680215" w:rsidRDefault="00680215">
      <w:pPr>
        <w:rPr>
          <w:rStyle w:val="NormalCharacter"/>
          <w:b/>
          <w:bCs/>
          <w:sz w:val="28"/>
        </w:rPr>
      </w:pPr>
    </w:p>
    <w:p w:rsidR="00680215" w:rsidRDefault="00680215">
      <w:pPr>
        <w:rPr>
          <w:rStyle w:val="NormalCharacter"/>
          <w:b/>
          <w:bCs/>
          <w:sz w:val="28"/>
        </w:rPr>
      </w:pPr>
    </w:p>
    <w:p w:rsidR="00680215" w:rsidRDefault="00715A1A">
      <w:pPr>
        <w:rPr>
          <w:rStyle w:val="NormalCharacter"/>
          <w:b/>
          <w:bCs/>
          <w:szCs w:val="21"/>
        </w:rPr>
      </w:pPr>
      <w:r>
        <w:rPr>
          <w:rStyle w:val="NormalCharacter"/>
          <w:b/>
          <w:bCs/>
          <w:szCs w:val="21"/>
        </w:rPr>
        <w:t xml:space="preserve"> </w:t>
      </w:r>
    </w:p>
    <w:p w:rsidR="00680215" w:rsidRDefault="00680215">
      <w:pPr>
        <w:rPr>
          <w:rStyle w:val="NormalCharacter"/>
          <w:b/>
          <w:bCs/>
          <w:szCs w:val="21"/>
        </w:rPr>
      </w:pPr>
    </w:p>
    <w:p w:rsidR="00680215" w:rsidRDefault="00680215">
      <w:pPr>
        <w:rPr>
          <w:rStyle w:val="NormalCharacter"/>
          <w:b/>
          <w:bCs/>
          <w:szCs w:val="21"/>
        </w:rPr>
      </w:pPr>
    </w:p>
    <w:p w:rsidR="00680215" w:rsidRDefault="00680215">
      <w:pPr>
        <w:rPr>
          <w:rStyle w:val="NormalCharacter"/>
          <w:b/>
          <w:bCs/>
          <w:szCs w:val="21"/>
        </w:rPr>
      </w:pPr>
    </w:p>
    <w:p w:rsidR="00680215" w:rsidRDefault="00680215">
      <w:pPr>
        <w:rPr>
          <w:rStyle w:val="NormalCharacter"/>
          <w:b/>
          <w:bCs/>
          <w:szCs w:val="21"/>
        </w:rPr>
      </w:pPr>
    </w:p>
    <w:p w:rsidR="00680215" w:rsidRDefault="00680215">
      <w:pPr>
        <w:rPr>
          <w:rStyle w:val="NormalCharacter"/>
          <w:b/>
          <w:bCs/>
          <w:szCs w:val="21"/>
        </w:rPr>
      </w:pPr>
    </w:p>
    <w:p w:rsidR="00680215" w:rsidRDefault="00715A1A">
      <w:pPr>
        <w:rPr>
          <w:rStyle w:val="NormalCharacter"/>
          <w:rFonts w:ascii="黑体" w:eastAsia="黑体"/>
          <w:bCs/>
          <w:sz w:val="28"/>
        </w:rPr>
      </w:pPr>
      <w:r>
        <w:rPr>
          <w:rStyle w:val="NormalCharacter"/>
          <w:rFonts w:ascii="黑体" w:eastAsia="黑体"/>
          <w:bCs/>
          <w:sz w:val="28"/>
        </w:rPr>
        <w:t>2021-0</w:t>
      </w:r>
      <w:r w:rsidR="00C960FE">
        <w:rPr>
          <w:rStyle w:val="NormalCharacter"/>
          <w:rFonts w:ascii="黑体" w:eastAsia="黑体" w:hint="eastAsia"/>
          <w:bCs/>
          <w:sz w:val="28"/>
        </w:rPr>
        <w:t>8</w:t>
      </w:r>
      <w:r>
        <w:rPr>
          <w:rStyle w:val="NormalCharacter"/>
          <w:rFonts w:ascii="黑体" w:eastAsia="黑体"/>
          <w:bCs/>
          <w:sz w:val="28"/>
        </w:rPr>
        <w:t>-01发布                                   2021-0</w:t>
      </w:r>
      <w:r w:rsidR="00C960FE">
        <w:rPr>
          <w:rStyle w:val="NormalCharacter"/>
          <w:rFonts w:ascii="黑体" w:eastAsia="黑体" w:hint="eastAsia"/>
          <w:bCs/>
          <w:sz w:val="28"/>
        </w:rPr>
        <w:t>9</w:t>
      </w:r>
      <w:r>
        <w:rPr>
          <w:rStyle w:val="NormalCharacter"/>
          <w:rFonts w:ascii="黑体" w:eastAsia="黑体"/>
          <w:bCs/>
          <w:sz w:val="28"/>
        </w:rPr>
        <w:t>-01实施</w:t>
      </w:r>
    </w:p>
    <w:p w:rsidR="00680215" w:rsidRDefault="00821D23">
      <w:pPr>
        <w:jc w:val="center"/>
        <w:rPr>
          <w:rStyle w:val="NormalCharacter"/>
          <w:rFonts w:ascii="黑体" w:eastAsia="黑体"/>
          <w:bCs/>
          <w:color w:val="000000"/>
          <w:sz w:val="32"/>
        </w:rPr>
      </w:pPr>
      <w:r w:rsidRPr="00821D23">
        <w:pict>
          <v:line id="_x0000_s1027" style="position:absolute;left:0;text-align:left;z-index:251658240" from="0,0" to="448.1pt,0" strokeweight="1pt"/>
        </w:pict>
      </w:r>
      <w:r w:rsidR="00C960FE">
        <w:rPr>
          <w:rStyle w:val="NormalCharacter"/>
          <w:rFonts w:ascii="黑体" w:eastAsia="黑体"/>
          <w:bCs/>
          <w:color w:val="000000"/>
          <w:sz w:val="36"/>
          <w:szCs w:val="36"/>
        </w:rPr>
        <w:t>贵州黔合玉液酒业有限公司</w:t>
      </w:r>
      <w:r w:rsidR="00715A1A">
        <w:rPr>
          <w:rStyle w:val="NormalCharacter"/>
          <w:rFonts w:ascii="黑体" w:eastAsia="黑体"/>
          <w:bCs/>
          <w:color w:val="000000"/>
          <w:sz w:val="32"/>
        </w:rPr>
        <w:t xml:space="preserve">  </w:t>
      </w:r>
      <w:r w:rsidR="00715A1A">
        <w:rPr>
          <w:rStyle w:val="NormalCharacter"/>
          <w:rFonts w:ascii="黑体" w:eastAsia="黑体"/>
          <w:bCs/>
          <w:color w:val="000000"/>
          <w:sz w:val="28"/>
          <w:szCs w:val="28"/>
        </w:rPr>
        <w:t>发布</w:t>
      </w:r>
    </w:p>
    <w:p w:rsidR="00680215" w:rsidRPr="00F551F5" w:rsidRDefault="00680215">
      <w:pPr>
        <w:jc w:val="right"/>
        <w:rPr>
          <w:rStyle w:val="NormalCharacter"/>
          <w:szCs w:val="21"/>
        </w:rPr>
      </w:pPr>
    </w:p>
    <w:p w:rsidR="00680215" w:rsidRDefault="00680215">
      <w:pPr>
        <w:jc w:val="center"/>
        <w:rPr>
          <w:rStyle w:val="NormalCharacter"/>
          <w:b/>
          <w:bCs/>
          <w:sz w:val="30"/>
        </w:rPr>
      </w:pPr>
    </w:p>
    <w:p w:rsidR="00680215" w:rsidRDefault="00715A1A">
      <w:pPr>
        <w:jc w:val="center"/>
        <w:rPr>
          <w:rStyle w:val="NormalCharacter"/>
          <w:rFonts w:ascii="黑体" w:eastAsia="黑体" w:hAnsi="黑体"/>
          <w:sz w:val="32"/>
          <w:szCs w:val="32"/>
        </w:rPr>
      </w:pPr>
      <w:r>
        <w:rPr>
          <w:rStyle w:val="NormalCharacter"/>
          <w:rFonts w:ascii="黑体" w:eastAsia="黑体" w:hAnsi="黑体"/>
          <w:bCs/>
          <w:sz w:val="32"/>
          <w:szCs w:val="32"/>
        </w:rPr>
        <w:t xml:space="preserve"> 前   言</w:t>
      </w:r>
    </w:p>
    <w:p w:rsidR="00680215" w:rsidRDefault="00680215">
      <w:pPr>
        <w:rPr>
          <w:rStyle w:val="NormalCharacter"/>
        </w:rPr>
      </w:pPr>
    </w:p>
    <w:p w:rsidR="00680215" w:rsidRDefault="00715A1A">
      <w:pPr>
        <w:ind w:firstLineChars="200" w:firstLine="420"/>
        <w:rPr>
          <w:rStyle w:val="NormalCharacter"/>
          <w:rFonts w:ascii="宋体" w:hAnsi="宋体"/>
          <w:szCs w:val="21"/>
        </w:rPr>
      </w:pPr>
      <w:r>
        <w:rPr>
          <w:rStyle w:val="NormalCharacter"/>
          <w:rFonts w:ascii="宋体" w:hAnsi="宋体"/>
          <w:szCs w:val="21"/>
        </w:rPr>
        <w:t>本文件依据GB/T 1.1—2020《标准化工作导则 第1部分：标准化文件的结构和起草规则》的规定起草。</w:t>
      </w:r>
    </w:p>
    <w:p w:rsidR="00680215" w:rsidRDefault="00715A1A">
      <w:pPr>
        <w:ind w:firstLineChars="200" w:firstLine="420"/>
        <w:rPr>
          <w:rStyle w:val="NormalCharacter"/>
          <w:rFonts w:ascii="宋体" w:hAnsi="宋体"/>
          <w:color w:val="000000"/>
          <w:szCs w:val="21"/>
        </w:rPr>
      </w:pPr>
      <w:r>
        <w:rPr>
          <w:rStyle w:val="NormalCharacter"/>
          <w:rFonts w:ascii="宋体" w:hAnsi="宋体"/>
          <w:color w:val="000000"/>
          <w:szCs w:val="21"/>
        </w:rPr>
        <w:t>本文件由</w:t>
      </w:r>
      <w:r w:rsidR="00C960FE">
        <w:rPr>
          <w:rStyle w:val="NormalCharacter"/>
          <w:rFonts w:ascii="宋体" w:hAnsi="宋体"/>
          <w:color w:val="000000"/>
          <w:szCs w:val="21"/>
        </w:rPr>
        <w:t>贵州黔合玉液酒业有限公司</w:t>
      </w:r>
      <w:r>
        <w:rPr>
          <w:rStyle w:val="NormalCharacter"/>
          <w:rFonts w:ascii="宋体" w:hAnsi="宋体"/>
          <w:color w:val="000000"/>
          <w:szCs w:val="21"/>
        </w:rPr>
        <w:t>提出。</w:t>
      </w:r>
    </w:p>
    <w:p w:rsidR="00680215" w:rsidRDefault="00715A1A">
      <w:pPr>
        <w:ind w:firstLineChars="200" w:firstLine="420"/>
        <w:rPr>
          <w:rStyle w:val="NormalCharacter"/>
          <w:rFonts w:ascii="宋体" w:hAnsi="宋体"/>
          <w:color w:val="000000"/>
          <w:szCs w:val="21"/>
        </w:rPr>
      </w:pPr>
      <w:r>
        <w:rPr>
          <w:rStyle w:val="NormalCharacter"/>
          <w:rFonts w:ascii="宋体" w:hAnsi="宋体"/>
          <w:color w:val="000000"/>
          <w:szCs w:val="21"/>
        </w:rPr>
        <w:t>本文件起草单位：</w:t>
      </w:r>
      <w:r w:rsidR="00C960FE">
        <w:rPr>
          <w:rStyle w:val="NormalCharacter"/>
          <w:rFonts w:ascii="宋体" w:hAnsi="宋体"/>
          <w:color w:val="000000"/>
          <w:szCs w:val="21"/>
        </w:rPr>
        <w:t>贵州黔合玉液酒业有限公司</w:t>
      </w:r>
      <w:r>
        <w:rPr>
          <w:rStyle w:val="NormalCharacter"/>
          <w:rFonts w:ascii="宋体" w:hAnsi="宋体"/>
          <w:color w:val="000000"/>
          <w:szCs w:val="21"/>
        </w:rPr>
        <w:t>。</w:t>
      </w:r>
    </w:p>
    <w:p w:rsidR="00680215" w:rsidRDefault="00715A1A">
      <w:pPr>
        <w:ind w:firstLineChars="200" w:firstLine="420"/>
        <w:rPr>
          <w:rStyle w:val="NormalCharacter"/>
          <w:rFonts w:ascii="宋体" w:hAnsi="宋体"/>
          <w:szCs w:val="21"/>
        </w:rPr>
      </w:pPr>
      <w:r>
        <w:rPr>
          <w:rStyle w:val="NormalCharacter"/>
          <w:rFonts w:ascii="宋体" w:hAnsi="宋体"/>
          <w:szCs w:val="21"/>
        </w:rPr>
        <w:t>本文件主要起草人：</w:t>
      </w:r>
      <w:r w:rsidR="00F551F5">
        <w:rPr>
          <w:rStyle w:val="NormalCharacter"/>
          <w:rFonts w:ascii="宋体" w:hAnsi="宋体"/>
          <w:szCs w:val="21"/>
        </w:rPr>
        <w:t>晏涛</w:t>
      </w:r>
      <w:r w:rsidR="00F551F5">
        <w:rPr>
          <w:rStyle w:val="NormalCharacter"/>
          <w:rFonts w:ascii="宋体" w:hAnsi="宋体" w:hint="eastAsia"/>
          <w:szCs w:val="21"/>
        </w:rPr>
        <w:t>。</w:t>
      </w:r>
    </w:p>
    <w:p w:rsidR="00680215" w:rsidRDefault="00680215">
      <w:pPr>
        <w:spacing w:line="240" w:lineRule="exact"/>
        <w:ind w:firstLineChars="200" w:firstLine="420"/>
        <w:rPr>
          <w:rStyle w:val="NormalCharacter"/>
          <w:rFonts w:ascii="宋体" w:hAnsi="宋体"/>
          <w:szCs w:val="21"/>
        </w:rPr>
      </w:pPr>
    </w:p>
    <w:p w:rsidR="00680215" w:rsidRDefault="00715A1A">
      <w:pPr>
        <w:ind w:firstLineChars="200" w:firstLine="420"/>
        <w:rPr>
          <w:rStyle w:val="NormalCharacter"/>
          <w:szCs w:val="21"/>
        </w:rPr>
      </w:pPr>
      <w:r>
        <w:rPr>
          <w:rStyle w:val="NormalCharacter"/>
          <w:szCs w:val="21"/>
        </w:rPr>
        <w:t xml:space="preserve">     </w:t>
      </w:r>
    </w:p>
    <w:p w:rsidR="00680215" w:rsidRDefault="00680215">
      <w:pPr>
        <w:ind w:firstLineChars="200" w:firstLine="480"/>
        <w:rPr>
          <w:rStyle w:val="NormalCharacter"/>
          <w:sz w:val="24"/>
        </w:rPr>
      </w:pPr>
    </w:p>
    <w:p w:rsidR="00680215" w:rsidRDefault="00680215">
      <w:pPr>
        <w:rPr>
          <w:rStyle w:val="NormalCharacter"/>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715A1A">
      <w:pPr>
        <w:rPr>
          <w:rStyle w:val="NormalCharacter"/>
          <w:kern w:val="10"/>
        </w:rPr>
      </w:pPr>
      <w:r>
        <w:rPr>
          <w:rStyle w:val="NormalCharacter"/>
          <w:kern w:val="10"/>
        </w:rPr>
        <w:t xml:space="preserve">   </w:t>
      </w: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rPr>
      </w:pPr>
    </w:p>
    <w:p w:rsidR="00680215" w:rsidRDefault="00680215">
      <w:pPr>
        <w:rPr>
          <w:rStyle w:val="NormalCharacter"/>
          <w:kern w:val="10"/>
          <w:sz w:val="10"/>
          <w:szCs w:val="10"/>
        </w:rPr>
      </w:pPr>
    </w:p>
    <w:p w:rsidR="004D4687" w:rsidRDefault="004D4687">
      <w:pPr>
        <w:rPr>
          <w:rStyle w:val="NormalCharacter"/>
          <w:kern w:val="10"/>
          <w:sz w:val="10"/>
          <w:szCs w:val="10"/>
        </w:rPr>
      </w:pPr>
    </w:p>
    <w:p w:rsidR="00680215" w:rsidRDefault="00A63F96" w:rsidP="00F551F5">
      <w:pPr>
        <w:spacing w:beforeLines="150" w:afterLines="150"/>
        <w:jc w:val="center"/>
        <w:rPr>
          <w:rStyle w:val="NormalCharacter"/>
          <w:rFonts w:ascii="黑体" w:eastAsia="黑体" w:hAnsi="宋体"/>
          <w:bCs/>
          <w:sz w:val="32"/>
          <w:szCs w:val="32"/>
        </w:rPr>
      </w:pPr>
      <w:r>
        <w:rPr>
          <w:rStyle w:val="NormalCharacter"/>
          <w:rFonts w:ascii="黑体" w:eastAsia="黑体" w:hAnsi="黑体"/>
          <w:sz w:val="32"/>
          <w:szCs w:val="32"/>
        </w:rPr>
        <w:t>黔合玉液酒</w:t>
      </w:r>
    </w:p>
    <w:p w:rsidR="00680215" w:rsidRDefault="00715A1A">
      <w:pPr>
        <w:spacing w:before="312" w:after="312"/>
        <w:rPr>
          <w:rStyle w:val="NormalCharacter"/>
          <w:rFonts w:ascii="黑体" w:eastAsia="黑体"/>
          <w:szCs w:val="21"/>
        </w:rPr>
      </w:pPr>
      <w:r>
        <w:rPr>
          <w:rStyle w:val="NormalCharacter"/>
          <w:rFonts w:ascii="黑体" w:eastAsia="黑体"/>
          <w:szCs w:val="21"/>
        </w:rPr>
        <w:t>1  范围</w:t>
      </w:r>
    </w:p>
    <w:p w:rsidR="00680215" w:rsidRDefault="00715A1A">
      <w:pPr>
        <w:ind w:firstLineChars="200" w:firstLine="420"/>
        <w:rPr>
          <w:rStyle w:val="NormalCharacter"/>
          <w:szCs w:val="21"/>
        </w:rPr>
      </w:pPr>
      <w:r>
        <w:rPr>
          <w:rStyle w:val="NormalCharacter"/>
          <w:szCs w:val="21"/>
        </w:rPr>
        <w:t>本文件规定了</w:t>
      </w:r>
      <w:r w:rsidR="00A63F96">
        <w:rPr>
          <w:rStyle w:val="NormalCharacter"/>
          <w:szCs w:val="21"/>
        </w:rPr>
        <w:t>黔合玉液酒</w:t>
      </w:r>
      <w:r w:rsidR="00C960FE">
        <w:rPr>
          <w:rStyle w:val="NormalCharacter"/>
          <w:szCs w:val="21"/>
        </w:rPr>
        <w:t>的要求（含检验方法）、检验规则</w:t>
      </w:r>
      <w:r>
        <w:rPr>
          <w:rStyle w:val="NormalCharacter"/>
          <w:szCs w:val="21"/>
        </w:rPr>
        <w:t>、标</w:t>
      </w:r>
      <w:r>
        <w:rPr>
          <w:rStyle w:val="NormalCharacter"/>
          <w:rFonts w:ascii="宋体" w:hAnsi="宋体"/>
          <w:szCs w:val="21"/>
        </w:rPr>
        <w:t>志</w:t>
      </w:r>
      <w:r>
        <w:rPr>
          <w:rStyle w:val="NormalCharacter"/>
          <w:szCs w:val="21"/>
        </w:rPr>
        <w:t>、</w:t>
      </w:r>
      <w:r w:rsidR="00C960FE">
        <w:rPr>
          <w:rStyle w:val="NormalCharacter"/>
          <w:szCs w:val="21"/>
        </w:rPr>
        <w:t>标签</w:t>
      </w:r>
      <w:r w:rsidR="00C960FE">
        <w:rPr>
          <w:rStyle w:val="NormalCharacter"/>
          <w:rFonts w:hint="eastAsia"/>
          <w:szCs w:val="21"/>
        </w:rPr>
        <w:t>、</w:t>
      </w:r>
      <w:r>
        <w:rPr>
          <w:rStyle w:val="NormalCharacter"/>
          <w:szCs w:val="21"/>
        </w:rPr>
        <w:t>包装、运输、贮存。</w:t>
      </w:r>
    </w:p>
    <w:p w:rsidR="00680215" w:rsidRDefault="00715A1A">
      <w:pPr>
        <w:ind w:firstLineChars="200" w:firstLine="420"/>
        <w:rPr>
          <w:rStyle w:val="NormalCharacter"/>
          <w:szCs w:val="21"/>
        </w:rPr>
      </w:pPr>
      <w:r>
        <w:rPr>
          <w:rStyle w:val="NormalCharacter"/>
          <w:szCs w:val="21"/>
        </w:rPr>
        <w:t>本文件适用于</w:t>
      </w:r>
      <w:r w:rsidR="00C960FE">
        <w:rPr>
          <w:rStyle w:val="NormalCharacter"/>
          <w:szCs w:val="21"/>
        </w:rPr>
        <w:t>贵州黔合玉液酒业有限公司</w:t>
      </w:r>
      <w:r>
        <w:rPr>
          <w:rStyle w:val="NormalCharacter"/>
          <w:szCs w:val="21"/>
        </w:rPr>
        <w:t>以高粱、小麦、水</w:t>
      </w:r>
      <w:r>
        <w:rPr>
          <w:rStyle w:val="NormalCharacter"/>
          <w:color w:val="000000"/>
          <w:szCs w:val="21"/>
        </w:rPr>
        <w:t>等</w:t>
      </w:r>
      <w:r>
        <w:rPr>
          <w:rStyle w:val="NormalCharacter"/>
          <w:szCs w:val="21"/>
        </w:rPr>
        <w:t>为原料，经</w:t>
      </w:r>
      <w:r w:rsidR="004D4687">
        <w:rPr>
          <w:rStyle w:val="NormalCharacter"/>
          <w:szCs w:val="21"/>
        </w:rPr>
        <w:t>固态</w:t>
      </w:r>
      <w:r>
        <w:rPr>
          <w:rStyle w:val="NormalCharacter"/>
          <w:szCs w:val="21"/>
        </w:rPr>
        <w:t>发酵、蒸馏、贮存、</w:t>
      </w:r>
      <w:r w:rsidR="004D4687">
        <w:rPr>
          <w:rStyle w:val="NormalCharacter"/>
          <w:szCs w:val="21"/>
        </w:rPr>
        <w:t>过滤</w:t>
      </w:r>
      <w:r w:rsidR="004D4687">
        <w:rPr>
          <w:rStyle w:val="NormalCharacter"/>
          <w:rFonts w:hint="eastAsia"/>
          <w:szCs w:val="21"/>
        </w:rPr>
        <w:t>、</w:t>
      </w:r>
      <w:r>
        <w:rPr>
          <w:rStyle w:val="NormalCharacter"/>
          <w:szCs w:val="21"/>
        </w:rPr>
        <w:t>勾兑等工艺制成</w:t>
      </w:r>
      <w:r>
        <w:rPr>
          <w:rStyle w:val="NormalCharacter"/>
          <w:rFonts w:ascii="宋体"/>
          <w:szCs w:val="21"/>
        </w:rPr>
        <w:t>的</w:t>
      </w:r>
      <w:r w:rsidR="00A63F96">
        <w:rPr>
          <w:rStyle w:val="NormalCharacter"/>
          <w:rFonts w:ascii="宋体"/>
          <w:szCs w:val="21"/>
        </w:rPr>
        <w:t>黔合玉液酒</w:t>
      </w:r>
      <w:r>
        <w:rPr>
          <w:rStyle w:val="NormalCharacter"/>
          <w:szCs w:val="21"/>
        </w:rPr>
        <w:t>。</w:t>
      </w:r>
    </w:p>
    <w:p w:rsidR="00680215" w:rsidRDefault="00715A1A">
      <w:pPr>
        <w:spacing w:before="312" w:after="312"/>
        <w:rPr>
          <w:rStyle w:val="NormalCharacter"/>
          <w:rFonts w:ascii="黑体" w:eastAsia="黑体"/>
          <w:szCs w:val="21"/>
        </w:rPr>
      </w:pPr>
      <w:r>
        <w:rPr>
          <w:rStyle w:val="NormalCharacter"/>
          <w:rFonts w:ascii="黑体" w:eastAsia="黑体"/>
          <w:szCs w:val="21"/>
        </w:rPr>
        <w:t>2  规范性引用文件</w:t>
      </w:r>
    </w:p>
    <w:p w:rsidR="00680215" w:rsidRDefault="00715A1A">
      <w:pPr>
        <w:ind w:firstLineChars="200" w:firstLine="420"/>
        <w:rPr>
          <w:rStyle w:val="NormalCharacter"/>
          <w:szCs w:val="21"/>
        </w:rPr>
      </w:pPr>
      <w:r>
        <w:rPr>
          <w:rStyle w:val="NormalCharacter"/>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r>
        <w:rPr>
          <w:rStyle w:val="NormalCharacter"/>
          <w:szCs w:val="21"/>
        </w:rPr>
        <w:t xml:space="preserve"> </w:t>
      </w:r>
    </w:p>
    <w:p w:rsidR="00680215" w:rsidRDefault="00715A1A">
      <w:pPr>
        <w:tabs>
          <w:tab w:val="left" w:pos="3609"/>
        </w:tabs>
        <w:ind w:firstLineChars="200" w:firstLine="420"/>
        <w:rPr>
          <w:rStyle w:val="NormalCharacter"/>
          <w:rFonts w:ascii="宋体" w:hAnsi="宋体"/>
        </w:rPr>
      </w:pPr>
      <w:r>
        <w:rPr>
          <w:rStyle w:val="NormalCharacter"/>
          <w:rFonts w:ascii="宋体" w:hAnsi="宋体"/>
        </w:rPr>
        <w:t>GB/T 191  包装储运图示标志</w:t>
      </w:r>
      <w:r>
        <w:rPr>
          <w:rStyle w:val="NormalCharacter"/>
          <w:rFonts w:ascii="宋体" w:hAnsi="宋体"/>
        </w:rPr>
        <w:tab/>
      </w:r>
    </w:p>
    <w:p w:rsidR="00680215" w:rsidRDefault="00715A1A">
      <w:pPr>
        <w:ind w:firstLineChars="200" w:firstLine="420"/>
        <w:rPr>
          <w:rStyle w:val="NormalCharacter"/>
          <w:rFonts w:ascii="宋体"/>
          <w:szCs w:val="21"/>
        </w:rPr>
      </w:pPr>
      <w:r>
        <w:rPr>
          <w:rStyle w:val="NormalCharacter"/>
          <w:rFonts w:ascii="宋体"/>
          <w:szCs w:val="21"/>
        </w:rPr>
        <w:t>GB 1351  小麦</w:t>
      </w:r>
    </w:p>
    <w:p w:rsidR="00680215" w:rsidRDefault="00715A1A">
      <w:pPr>
        <w:ind w:firstLineChars="200" w:firstLine="420"/>
        <w:rPr>
          <w:rStyle w:val="NormalCharacter"/>
          <w:rFonts w:ascii="宋体" w:hAnsi="宋体"/>
          <w:kern w:val="0"/>
          <w:szCs w:val="21"/>
        </w:rPr>
      </w:pPr>
      <w:r>
        <w:rPr>
          <w:rStyle w:val="NormalCharacter"/>
          <w:rFonts w:ascii="宋体" w:hAnsi="宋体"/>
          <w:szCs w:val="21"/>
        </w:rPr>
        <w:t xml:space="preserve">GB 2757  食品安全国家标准 </w:t>
      </w:r>
      <w:r>
        <w:rPr>
          <w:rStyle w:val="NormalCharacter"/>
          <w:rFonts w:ascii="宋体" w:hAnsi="宋体"/>
          <w:kern w:val="0"/>
          <w:szCs w:val="21"/>
        </w:rPr>
        <w:t>蒸馏酒及其配制酒</w:t>
      </w:r>
    </w:p>
    <w:p w:rsidR="00680215" w:rsidRDefault="00715A1A">
      <w:pPr>
        <w:pStyle w:val="UserStyle2"/>
        <w:ind w:firstLine="420"/>
        <w:rPr>
          <w:rStyle w:val="NormalCharacter"/>
          <w:bCs/>
        </w:rPr>
      </w:pPr>
      <w:r>
        <w:rPr>
          <w:rStyle w:val="NormalCharacter"/>
          <w:bCs/>
        </w:rPr>
        <w:t>GB 4806.4  食品安全国家标准 陶瓷制品</w:t>
      </w:r>
    </w:p>
    <w:p w:rsidR="00680215" w:rsidRDefault="00715A1A">
      <w:pPr>
        <w:pStyle w:val="UserStyle2"/>
        <w:ind w:firstLine="420"/>
        <w:rPr>
          <w:rStyle w:val="NormalCharacter"/>
          <w:bCs/>
        </w:rPr>
      </w:pPr>
      <w:r>
        <w:rPr>
          <w:rStyle w:val="NormalCharacter"/>
          <w:bCs/>
        </w:rPr>
        <w:t>GB 4806.5  食品安全国家标准 玻璃制品</w:t>
      </w:r>
    </w:p>
    <w:p w:rsidR="00680215" w:rsidRDefault="00715A1A">
      <w:pPr>
        <w:ind w:firstLineChars="200" w:firstLine="420"/>
        <w:rPr>
          <w:rStyle w:val="NormalCharacter"/>
          <w:rFonts w:ascii="宋体" w:hAnsi="宋体"/>
          <w:bCs/>
          <w:szCs w:val="21"/>
        </w:rPr>
      </w:pPr>
      <w:r>
        <w:rPr>
          <w:rStyle w:val="NormalCharacter"/>
          <w:rFonts w:ascii="宋体" w:hAnsi="宋体"/>
          <w:kern w:val="0"/>
          <w:szCs w:val="21"/>
        </w:rPr>
        <w:t xml:space="preserve">GB 5009.12  </w:t>
      </w:r>
      <w:r>
        <w:rPr>
          <w:rStyle w:val="NormalCharacter"/>
          <w:rFonts w:ascii="宋体" w:hAnsi="宋体"/>
          <w:bCs/>
          <w:szCs w:val="21"/>
        </w:rPr>
        <w:t xml:space="preserve">食品安全国家标准 </w:t>
      </w:r>
      <w:r>
        <w:rPr>
          <w:rStyle w:val="NormalCharacter"/>
          <w:rFonts w:ascii="宋体" w:hAnsi="宋体"/>
          <w:szCs w:val="21"/>
        </w:rPr>
        <w:t>食品中铅的测定</w:t>
      </w:r>
    </w:p>
    <w:p w:rsidR="00680215" w:rsidRDefault="00715A1A">
      <w:pPr>
        <w:ind w:firstLineChars="200" w:firstLine="420"/>
        <w:rPr>
          <w:rStyle w:val="NormalCharacter"/>
          <w:rFonts w:ascii="宋体" w:hAnsi="宋体"/>
          <w:kern w:val="0"/>
          <w:szCs w:val="21"/>
        </w:rPr>
      </w:pPr>
      <w:r>
        <w:rPr>
          <w:rStyle w:val="NormalCharacter"/>
          <w:rFonts w:ascii="宋体" w:hAnsi="宋体"/>
          <w:bCs/>
          <w:szCs w:val="21"/>
        </w:rPr>
        <w:t>GB 5009.36  食品安全国家标准 食品中氰化物的测定</w:t>
      </w:r>
    </w:p>
    <w:p w:rsidR="00680215" w:rsidRDefault="00715A1A">
      <w:pPr>
        <w:ind w:firstLineChars="194" w:firstLine="407"/>
        <w:rPr>
          <w:rStyle w:val="NormalCharacter"/>
          <w:rFonts w:ascii="宋体" w:hAnsi="宋体"/>
          <w:kern w:val="0"/>
          <w:szCs w:val="21"/>
        </w:rPr>
      </w:pPr>
      <w:r>
        <w:rPr>
          <w:rStyle w:val="NormalCharacter"/>
          <w:rFonts w:ascii="宋体" w:hAnsi="宋体"/>
          <w:kern w:val="0"/>
          <w:szCs w:val="21"/>
        </w:rPr>
        <w:t>GB 5009.225  食品安全国家标准 酒中乙醇浓度的测定</w:t>
      </w:r>
    </w:p>
    <w:p w:rsidR="004A18FA" w:rsidRDefault="004A18FA">
      <w:pPr>
        <w:ind w:firstLineChars="194" w:firstLine="407"/>
        <w:rPr>
          <w:rStyle w:val="NormalCharacter"/>
          <w:rFonts w:ascii="宋体" w:hAnsi="宋体"/>
          <w:kern w:val="0"/>
          <w:szCs w:val="21"/>
        </w:rPr>
      </w:pPr>
      <w:r>
        <w:rPr>
          <w:rStyle w:val="NormalCharacter"/>
          <w:rFonts w:ascii="宋体" w:hAnsi="宋体" w:hint="eastAsia"/>
          <w:kern w:val="0"/>
          <w:szCs w:val="21"/>
        </w:rPr>
        <w:t xml:space="preserve">GB 5009.237  </w:t>
      </w:r>
      <w:r>
        <w:rPr>
          <w:rStyle w:val="NormalCharacter"/>
          <w:rFonts w:ascii="宋体" w:hAnsi="宋体"/>
          <w:kern w:val="0"/>
          <w:szCs w:val="21"/>
        </w:rPr>
        <w:t>食品安全国家标准</w:t>
      </w:r>
      <w:r>
        <w:rPr>
          <w:rStyle w:val="NormalCharacter"/>
          <w:rFonts w:ascii="宋体" w:hAnsi="宋体" w:hint="eastAsia"/>
          <w:kern w:val="0"/>
          <w:szCs w:val="21"/>
        </w:rPr>
        <w:t xml:space="preserve"> 食品pH值的测定</w:t>
      </w:r>
    </w:p>
    <w:p w:rsidR="00680215" w:rsidRDefault="00715A1A">
      <w:pPr>
        <w:ind w:firstLineChars="194" w:firstLine="407"/>
        <w:rPr>
          <w:rStyle w:val="NormalCharacter"/>
          <w:rFonts w:ascii="宋体" w:hAnsi="宋体"/>
          <w:kern w:val="0"/>
          <w:szCs w:val="21"/>
        </w:rPr>
      </w:pPr>
      <w:r>
        <w:rPr>
          <w:rStyle w:val="NormalCharacter"/>
          <w:rFonts w:ascii="宋体" w:hAnsi="宋体"/>
          <w:kern w:val="0"/>
          <w:szCs w:val="21"/>
        </w:rPr>
        <w:t>GB 5009.266  食品安全国家标准 食品中甲醇的测定</w:t>
      </w:r>
    </w:p>
    <w:p w:rsidR="00680215" w:rsidRDefault="00715A1A">
      <w:pPr>
        <w:ind w:firstLineChars="200" w:firstLine="420"/>
        <w:rPr>
          <w:rStyle w:val="NormalCharacter"/>
          <w:rFonts w:ascii="宋体"/>
          <w:szCs w:val="21"/>
        </w:rPr>
      </w:pPr>
      <w:r>
        <w:rPr>
          <w:rStyle w:val="NormalCharacter"/>
          <w:rFonts w:ascii="宋体"/>
          <w:szCs w:val="21"/>
        </w:rPr>
        <w:t>GB 5749  生活饮用水卫生标准</w:t>
      </w:r>
    </w:p>
    <w:p w:rsidR="00680215" w:rsidRDefault="00715A1A">
      <w:pPr>
        <w:ind w:firstLineChars="200" w:firstLine="420"/>
        <w:rPr>
          <w:rStyle w:val="NormalCharacter"/>
          <w:rFonts w:ascii="宋体" w:hAnsi="宋体"/>
          <w:szCs w:val="21"/>
        </w:rPr>
      </w:pPr>
      <w:r>
        <w:rPr>
          <w:rStyle w:val="NormalCharacter"/>
          <w:rFonts w:ascii="宋体" w:hAnsi="宋体"/>
          <w:szCs w:val="21"/>
        </w:rPr>
        <w:t>GB/T 6543  运输包装用单瓦楞纸箱和双瓦楞纸箱</w:t>
      </w:r>
    </w:p>
    <w:p w:rsidR="00680215" w:rsidRDefault="00715A1A">
      <w:pPr>
        <w:ind w:firstLineChars="200" w:firstLine="420"/>
        <w:rPr>
          <w:rStyle w:val="NormalCharacter"/>
          <w:rFonts w:ascii="宋体" w:hAnsi="宋体"/>
          <w:kern w:val="0"/>
          <w:szCs w:val="21"/>
        </w:rPr>
      </w:pPr>
      <w:r>
        <w:rPr>
          <w:rStyle w:val="NormalCharacter"/>
          <w:rFonts w:ascii="宋体" w:hAnsi="宋体"/>
          <w:kern w:val="0"/>
          <w:szCs w:val="21"/>
        </w:rPr>
        <w:t xml:space="preserve">GB 7718  食品安全国家标准 </w:t>
      </w:r>
      <w:r>
        <w:rPr>
          <w:rStyle w:val="NormalCharacter"/>
          <w:rFonts w:ascii="宋体" w:hAnsi="宋体"/>
          <w:szCs w:val="21"/>
        </w:rPr>
        <w:t>预包装食品标签通则</w:t>
      </w:r>
    </w:p>
    <w:p w:rsidR="00680215" w:rsidRDefault="00715A1A">
      <w:pPr>
        <w:ind w:firstLineChars="200" w:firstLine="420"/>
        <w:rPr>
          <w:rStyle w:val="NormalCharacter"/>
          <w:rFonts w:ascii="宋体"/>
          <w:szCs w:val="21"/>
        </w:rPr>
      </w:pPr>
      <w:r>
        <w:rPr>
          <w:rStyle w:val="NormalCharacter"/>
          <w:rFonts w:ascii="宋体"/>
          <w:szCs w:val="21"/>
        </w:rPr>
        <w:t>GB/T 8231  高粱</w:t>
      </w:r>
    </w:p>
    <w:p w:rsidR="00680215" w:rsidRDefault="00715A1A">
      <w:pPr>
        <w:ind w:firstLineChars="200" w:firstLine="420"/>
        <w:rPr>
          <w:rStyle w:val="NormalCharacter"/>
          <w:rFonts w:ascii="宋体" w:hAnsi="宋体"/>
        </w:rPr>
      </w:pPr>
      <w:r>
        <w:rPr>
          <w:rStyle w:val="NormalCharacter"/>
          <w:rFonts w:ascii="宋体" w:hAnsi="宋体"/>
        </w:rPr>
        <w:t>GB 8951  食品安全国家标准 蒸馏酒及其配制酒生产卫生规范</w:t>
      </w:r>
    </w:p>
    <w:p w:rsidR="00680215" w:rsidRDefault="00715A1A">
      <w:pPr>
        <w:ind w:firstLineChars="200" w:firstLine="420"/>
        <w:rPr>
          <w:rStyle w:val="NormalCharacter"/>
          <w:rFonts w:ascii="宋体" w:hAnsi="宋体"/>
        </w:rPr>
      </w:pPr>
      <w:r>
        <w:rPr>
          <w:rStyle w:val="NormalCharacter"/>
          <w:rFonts w:ascii="宋体" w:hAnsi="宋体"/>
        </w:rPr>
        <w:t>GB/T 10345  白酒分析方法</w:t>
      </w:r>
    </w:p>
    <w:p w:rsidR="00680215" w:rsidRDefault="00715A1A">
      <w:pPr>
        <w:ind w:firstLineChars="200" w:firstLine="420"/>
        <w:rPr>
          <w:rStyle w:val="NormalCharacter"/>
          <w:rFonts w:ascii="宋体" w:hAnsi="宋体"/>
        </w:rPr>
      </w:pPr>
      <w:r>
        <w:rPr>
          <w:rStyle w:val="NormalCharacter"/>
          <w:rFonts w:ascii="宋体" w:hAnsi="宋体"/>
        </w:rPr>
        <w:t xml:space="preserve">GB 14881  </w:t>
      </w:r>
      <w:r>
        <w:rPr>
          <w:rStyle w:val="NormalCharacter"/>
        </w:rPr>
        <w:t>食品安全国家标准</w:t>
      </w:r>
      <w:r>
        <w:rPr>
          <w:rStyle w:val="NormalCharacter"/>
          <w:rFonts w:ascii="宋体" w:hAnsi="宋体"/>
        </w:rPr>
        <w:t xml:space="preserve"> 食品生产通用卫生规范</w:t>
      </w:r>
    </w:p>
    <w:p w:rsidR="00680215" w:rsidRDefault="00715A1A">
      <w:pPr>
        <w:ind w:firstLineChars="200" w:firstLine="420"/>
        <w:rPr>
          <w:rStyle w:val="NormalCharacter"/>
          <w:rFonts w:ascii="宋体" w:hAnsi="宋体"/>
          <w:szCs w:val="21"/>
        </w:rPr>
      </w:pPr>
      <w:r>
        <w:rPr>
          <w:rStyle w:val="NormalCharacter"/>
          <w:rFonts w:ascii="宋体" w:hAnsi="宋体"/>
          <w:szCs w:val="21"/>
        </w:rPr>
        <w:t>JJF 1070  定量包装商品净含量计量检验规则</w:t>
      </w:r>
    </w:p>
    <w:p w:rsidR="00680215" w:rsidRDefault="00715A1A">
      <w:pPr>
        <w:ind w:firstLineChars="200" w:firstLine="420"/>
        <w:rPr>
          <w:rStyle w:val="NormalCharacter"/>
          <w:rFonts w:ascii="宋体" w:hAnsi="宋体"/>
          <w:szCs w:val="21"/>
        </w:rPr>
      </w:pPr>
      <w:r>
        <w:rPr>
          <w:rStyle w:val="NormalCharacter"/>
          <w:rFonts w:ascii="宋体" w:hAnsi="宋体"/>
          <w:szCs w:val="21"/>
        </w:rPr>
        <w:t>原国家质量监督检验检疫总局（2005）第75号令 定量包装商品计量监督管理办法</w:t>
      </w:r>
    </w:p>
    <w:p w:rsidR="00680215" w:rsidRDefault="00715A1A">
      <w:pPr>
        <w:spacing w:before="312" w:after="312"/>
        <w:rPr>
          <w:rStyle w:val="NormalCharacter"/>
          <w:szCs w:val="21"/>
        </w:rPr>
      </w:pPr>
      <w:r>
        <w:rPr>
          <w:rStyle w:val="NormalCharacter"/>
          <w:rFonts w:ascii="黑体" w:eastAsia="黑体"/>
          <w:szCs w:val="21"/>
        </w:rPr>
        <w:t xml:space="preserve">3  </w:t>
      </w:r>
      <w:r>
        <w:rPr>
          <w:rStyle w:val="NormalCharacter"/>
          <w:rFonts w:ascii="黑体" w:eastAsia="黑体" w:hAnsi="宋体"/>
          <w:bCs/>
          <w:szCs w:val="21"/>
        </w:rPr>
        <w:t xml:space="preserve">要求 </w:t>
      </w:r>
    </w:p>
    <w:p w:rsidR="00680215" w:rsidRDefault="00715A1A">
      <w:pPr>
        <w:spacing w:before="156" w:after="156"/>
        <w:rPr>
          <w:rStyle w:val="NormalCharacter"/>
          <w:rFonts w:ascii="黑体" w:eastAsia="黑体" w:hAnsi="黑体"/>
          <w:szCs w:val="21"/>
        </w:rPr>
      </w:pPr>
      <w:r>
        <w:rPr>
          <w:rStyle w:val="NormalCharacter"/>
          <w:rFonts w:ascii="黑体" w:eastAsia="黑体" w:hAnsi="黑体"/>
          <w:szCs w:val="21"/>
        </w:rPr>
        <w:t>3.1  原辅料要求</w:t>
      </w:r>
    </w:p>
    <w:p w:rsidR="00680215" w:rsidRDefault="00715A1A">
      <w:pPr>
        <w:spacing w:before="156" w:after="156"/>
        <w:rPr>
          <w:rStyle w:val="NormalCharacter"/>
          <w:rFonts w:ascii="黑体" w:eastAsia="黑体" w:hAnsi="黑体"/>
          <w:szCs w:val="21"/>
        </w:rPr>
      </w:pPr>
      <w:r>
        <w:rPr>
          <w:rStyle w:val="NormalCharacter"/>
          <w:rFonts w:ascii="黑体" w:eastAsia="黑体" w:hAnsi="黑体"/>
          <w:szCs w:val="21"/>
        </w:rPr>
        <w:t>3.1.1  高粱</w:t>
      </w:r>
    </w:p>
    <w:p w:rsidR="00680215" w:rsidRDefault="00715A1A">
      <w:pPr>
        <w:ind w:firstLineChars="200" w:firstLine="420"/>
        <w:rPr>
          <w:rStyle w:val="NormalCharacter"/>
          <w:rFonts w:ascii="宋体"/>
          <w:szCs w:val="21"/>
        </w:rPr>
      </w:pPr>
      <w:r>
        <w:rPr>
          <w:rStyle w:val="NormalCharacter"/>
          <w:rFonts w:ascii="宋体"/>
          <w:szCs w:val="21"/>
        </w:rPr>
        <w:t>应符合GB/T 8231的规定。</w:t>
      </w:r>
    </w:p>
    <w:p w:rsidR="00680215" w:rsidRDefault="00715A1A">
      <w:pPr>
        <w:spacing w:before="156" w:after="156"/>
        <w:rPr>
          <w:rStyle w:val="NormalCharacter"/>
          <w:rFonts w:ascii="黑体" w:eastAsia="黑体" w:hAnsi="黑体"/>
          <w:szCs w:val="21"/>
        </w:rPr>
      </w:pPr>
      <w:r>
        <w:rPr>
          <w:rStyle w:val="NormalCharacter"/>
          <w:rFonts w:ascii="黑体" w:eastAsia="黑体" w:hAnsi="黑体"/>
          <w:szCs w:val="21"/>
        </w:rPr>
        <w:lastRenderedPageBreak/>
        <w:t>3.1.2  小麦</w:t>
      </w:r>
    </w:p>
    <w:p w:rsidR="00680215" w:rsidRDefault="00715A1A">
      <w:pPr>
        <w:ind w:firstLineChars="200" w:firstLine="420"/>
        <w:rPr>
          <w:rStyle w:val="NormalCharacter"/>
          <w:rFonts w:ascii="宋体"/>
          <w:szCs w:val="21"/>
        </w:rPr>
      </w:pPr>
      <w:r>
        <w:rPr>
          <w:rStyle w:val="NormalCharacter"/>
          <w:rFonts w:ascii="宋体"/>
          <w:szCs w:val="21"/>
        </w:rPr>
        <w:t>应符合GB 1351的规定。</w:t>
      </w:r>
    </w:p>
    <w:p w:rsidR="00680215" w:rsidRDefault="00715A1A">
      <w:pPr>
        <w:spacing w:before="156" w:after="156"/>
        <w:rPr>
          <w:rStyle w:val="NormalCharacter"/>
          <w:rFonts w:ascii="黑体" w:eastAsia="黑体" w:hAnsi="黑体"/>
          <w:szCs w:val="21"/>
        </w:rPr>
      </w:pPr>
      <w:r>
        <w:rPr>
          <w:rStyle w:val="NormalCharacter"/>
          <w:rFonts w:ascii="黑体" w:eastAsia="黑体" w:hAnsi="黑体"/>
          <w:szCs w:val="21"/>
        </w:rPr>
        <w:t>3.1.3  水</w:t>
      </w:r>
    </w:p>
    <w:p w:rsidR="00680215" w:rsidRDefault="00715A1A">
      <w:pPr>
        <w:ind w:firstLineChars="200" w:firstLine="420"/>
        <w:rPr>
          <w:rStyle w:val="NormalCharacter"/>
          <w:rFonts w:ascii="宋体"/>
          <w:szCs w:val="21"/>
        </w:rPr>
      </w:pPr>
      <w:r>
        <w:rPr>
          <w:rStyle w:val="NormalCharacter"/>
          <w:rFonts w:ascii="宋体"/>
          <w:szCs w:val="21"/>
        </w:rPr>
        <w:t>应符合GB 5749的规定。</w:t>
      </w:r>
    </w:p>
    <w:p w:rsidR="00680215" w:rsidRDefault="00715A1A">
      <w:pPr>
        <w:spacing w:before="156" w:after="156"/>
        <w:rPr>
          <w:rStyle w:val="NormalCharacter"/>
          <w:rFonts w:ascii="黑体" w:eastAsia="黑体" w:hAnsi="黑体"/>
        </w:rPr>
      </w:pPr>
      <w:r>
        <w:rPr>
          <w:rStyle w:val="NormalCharacter"/>
          <w:rFonts w:ascii="黑体" w:eastAsia="黑体" w:hAnsi="黑体"/>
        </w:rPr>
        <w:t>3.1.4  其他原辅料</w:t>
      </w:r>
    </w:p>
    <w:p w:rsidR="00680215" w:rsidRDefault="00715A1A">
      <w:pPr>
        <w:ind w:firstLineChars="200" w:firstLine="420"/>
        <w:rPr>
          <w:rStyle w:val="NormalCharacter"/>
          <w:rFonts w:ascii="宋体" w:hAnsi="宋体"/>
        </w:rPr>
      </w:pPr>
      <w:r>
        <w:rPr>
          <w:rStyle w:val="NormalCharacter"/>
          <w:rFonts w:ascii="宋体" w:hAnsi="宋体"/>
        </w:rPr>
        <w:t>应符合相应食品安全国家标准的规定。</w:t>
      </w:r>
    </w:p>
    <w:p w:rsidR="00680215" w:rsidRDefault="00715A1A">
      <w:pPr>
        <w:spacing w:before="156" w:after="156"/>
        <w:rPr>
          <w:rStyle w:val="NormalCharacter"/>
          <w:rFonts w:ascii="黑体" w:eastAsia="黑体" w:hAnsi="黑体"/>
          <w:color w:val="000000"/>
          <w:szCs w:val="21"/>
        </w:rPr>
      </w:pPr>
      <w:r>
        <w:rPr>
          <w:rStyle w:val="NormalCharacter"/>
          <w:rFonts w:ascii="黑体" w:eastAsia="黑体" w:hAnsi="黑体"/>
          <w:szCs w:val="21"/>
        </w:rPr>
        <w:t>3.2  感官</w:t>
      </w:r>
      <w:r>
        <w:rPr>
          <w:rStyle w:val="NormalCharacter"/>
          <w:rFonts w:ascii="黑体" w:eastAsia="黑体" w:hAnsi="黑体"/>
          <w:color w:val="000000"/>
          <w:szCs w:val="21"/>
        </w:rPr>
        <w:t>要求</w:t>
      </w:r>
    </w:p>
    <w:p w:rsidR="00680215" w:rsidRDefault="00715A1A">
      <w:pPr>
        <w:ind w:firstLineChars="200" w:firstLine="420"/>
        <w:rPr>
          <w:rStyle w:val="NormalCharacter"/>
          <w:color w:val="000000"/>
          <w:szCs w:val="21"/>
        </w:rPr>
      </w:pPr>
      <w:r>
        <w:rPr>
          <w:rStyle w:val="NormalCharacter"/>
          <w:color w:val="000000"/>
          <w:szCs w:val="21"/>
        </w:rPr>
        <w:t>应符合表</w:t>
      </w:r>
      <w:r>
        <w:rPr>
          <w:rStyle w:val="NormalCharacter"/>
          <w:color w:val="000000"/>
          <w:szCs w:val="21"/>
        </w:rPr>
        <w:t>1</w:t>
      </w:r>
      <w:r>
        <w:rPr>
          <w:rStyle w:val="NormalCharacter"/>
          <w:color w:val="000000"/>
          <w:szCs w:val="21"/>
        </w:rPr>
        <w:t>规定。</w:t>
      </w:r>
    </w:p>
    <w:p w:rsidR="00680215" w:rsidRDefault="00715A1A">
      <w:pPr>
        <w:spacing w:before="156" w:after="156"/>
        <w:jc w:val="center"/>
        <w:rPr>
          <w:rStyle w:val="NormalCharacter"/>
          <w:rFonts w:ascii="黑体" w:eastAsia="黑体" w:hAnsi="黑体"/>
          <w:szCs w:val="21"/>
        </w:rPr>
      </w:pPr>
      <w:r>
        <w:rPr>
          <w:rStyle w:val="NormalCharacter"/>
          <w:rFonts w:ascii="黑体" w:eastAsia="黑体" w:hAnsi="黑体"/>
          <w:szCs w:val="21"/>
        </w:rPr>
        <w:t>表1</w:t>
      </w:r>
    </w:p>
    <w:tbl>
      <w:tblPr>
        <w:tblW w:w="941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FFFF"/>
      </w:tblPr>
      <w:tblGrid>
        <w:gridCol w:w="1715"/>
        <w:gridCol w:w="5690"/>
        <w:gridCol w:w="2014"/>
      </w:tblGrid>
      <w:tr w:rsidR="00EB414E" w:rsidTr="004D4687">
        <w:trPr>
          <w:trHeight w:val="340"/>
          <w:jc w:val="center"/>
        </w:trPr>
        <w:tc>
          <w:tcPr>
            <w:tcW w:w="1715" w:type="dxa"/>
            <w:tcBorders>
              <w:top w:val="single" w:sz="4" w:space="0" w:color="000000"/>
              <w:left w:val="single" w:sz="4" w:space="0" w:color="000000"/>
              <w:bottom w:val="single" w:sz="4" w:space="0" w:color="000000"/>
              <w:right w:val="single" w:sz="4" w:space="0" w:color="000000"/>
            </w:tcBorders>
            <w:vAlign w:val="center"/>
          </w:tcPr>
          <w:p w:rsidR="00EB414E" w:rsidRDefault="00EB414E">
            <w:pPr>
              <w:pStyle w:val="UserStyle2"/>
              <w:spacing w:line="360" w:lineRule="exact"/>
              <w:ind w:firstLineChars="0"/>
              <w:jc w:val="center"/>
              <w:rPr>
                <w:rStyle w:val="NormalCharacter"/>
                <w:rFonts w:hAnsi="宋体"/>
                <w:sz w:val="18"/>
                <w:szCs w:val="18"/>
              </w:rPr>
            </w:pPr>
            <w:r>
              <w:rPr>
                <w:rStyle w:val="NormalCharacter"/>
                <w:rFonts w:hAnsi="宋体"/>
                <w:sz w:val="18"/>
                <w:szCs w:val="18"/>
              </w:rPr>
              <w:t>项  目</w:t>
            </w:r>
          </w:p>
        </w:tc>
        <w:tc>
          <w:tcPr>
            <w:tcW w:w="5690" w:type="dxa"/>
            <w:tcBorders>
              <w:top w:val="single" w:sz="4" w:space="0" w:color="000000"/>
              <w:left w:val="single" w:sz="4" w:space="0" w:color="000000"/>
              <w:right w:val="single" w:sz="4" w:space="0" w:color="000000"/>
            </w:tcBorders>
            <w:vAlign w:val="center"/>
          </w:tcPr>
          <w:p w:rsidR="00EB414E" w:rsidRDefault="00EB414E">
            <w:pPr>
              <w:pStyle w:val="UserStyle2"/>
              <w:spacing w:line="360" w:lineRule="exact"/>
              <w:ind w:firstLineChars="0"/>
              <w:jc w:val="center"/>
              <w:rPr>
                <w:rStyle w:val="NormalCharacter"/>
                <w:rFonts w:hAnsi="宋体"/>
                <w:sz w:val="18"/>
                <w:szCs w:val="18"/>
              </w:rPr>
            </w:pPr>
            <w:r>
              <w:rPr>
                <w:rStyle w:val="NormalCharacter"/>
                <w:rFonts w:hAnsi="宋体"/>
                <w:sz w:val="18"/>
                <w:szCs w:val="18"/>
              </w:rPr>
              <w:t>要  求</w:t>
            </w:r>
          </w:p>
        </w:tc>
        <w:tc>
          <w:tcPr>
            <w:tcW w:w="2014" w:type="dxa"/>
            <w:tcBorders>
              <w:top w:val="single" w:sz="4" w:space="0" w:color="000000"/>
              <w:left w:val="single" w:sz="4" w:space="0" w:color="000000"/>
              <w:bottom w:val="single" w:sz="4" w:space="0" w:color="000000"/>
              <w:right w:val="single" w:sz="4" w:space="0" w:color="000000"/>
            </w:tcBorders>
            <w:vAlign w:val="center"/>
          </w:tcPr>
          <w:p w:rsidR="00EB414E" w:rsidRDefault="00EB414E">
            <w:pPr>
              <w:pStyle w:val="UserStyle2"/>
              <w:spacing w:line="360" w:lineRule="exact"/>
              <w:ind w:firstLineChars="0"/>
              <w:jc w:val="center"/>
              <w:rPr>
                <w:rStyle w:val="NormalCharacter"/>
                <w:rFonts w:hAnsi="宋体"/>
                <w:sz w:val="18"/>
                <w:szCs w:val="18"/>
              </w:rPr>
            </w:pPr>
            <w:r>
              <w:rPr>
                <w:rStyle w:val="NormalCharacter"/>
                <w:rFonts w:hAnsi="宋体"/>
                <w:sz w:val="18"/>
                <w:szCs w:val="18"/>
              </w:rPr>
              <w:t>检验方法</w:t>
            </w:r>
          </w:p>
        </w:tc>
      </w:tr>
      <w:tr w:rsidR="00A63F96" w:rsidTr="004D4687">
        <w:trPr>
          <w:trHeight w:val="340"/>
          <w:jc w:val="center"/>
        </w:trPr>
        <w:tc>
          <w:tcPr>
            <w:tcW w:w="1715" w:type="dxa"/>
            <w:tcBorders>
              <w:top w:val="single" w:sz="4" w:space="0" w:color="000000"/>
              <w:left w:val="single" w:sz="4" w:space="0" w:color="000000"/>
              <w:bottom w:val="single" w:sz="4" w:space="0" w:color="000000"/>
              <w:right w:val="single" w:sz="4" w:space="0" w:color="000000"/>
            </w:tcBorders>
            <w:vAlign w:val="center"/>
          </w:tcPr>
          <w:p w:rsidR="00A63F96" w:rsidRDefault="00A63F96">
            <w:pPr>
              <w:jc w:val="center"/>
              <w:rPr>
                <w:rStyle w:val="NormalCharacter"/>
                <w:rFonts w:ascii="宋体"/>
                <w:kern w:val="0"/>
                <w:szCs w:val="21"/>
              </w:rPr>
            </w:pPr>
            <w:r>
              <w:rPr>
                <w:rStyle w:val="NormalCharacter"/>
                <w:rFonts w:ascii="宋体"/>
                <w:kern w:val="0"/>
                <w:sz w:val="18"/>
                <w:szCs w:val="21"/>
              </w:rPr>
              <w:t>色泽和外观</w:t>
            </w:r>
          </w:p>
        </w:tc>
        <w:tc>
          <w:tcPr>
            <w:tcW w:w="5690" w:type="dxa"/>
            <w:tcBorders>
              <w:top w:val="single" w:sz="4" w:space="0" w:color="000000"/>
              <w:left w:val="single" w:sz="4" w:space="0" w:color="000000"/>
              <w:bottom w:val="single" w:sz="4" w:space="0" w:color="000000"/>
              <w:right w:val="single" w:sz="4" w:space="0" w:color="000000"/>
            </w:tcBorders>
            <w:vAlign w:val="center"/>
          </w:tcPr>
          <w:p w:rsidR="00A63F96" w:rsidRDefault="00A63F96">
            <w:pPr>
              <w:ind w:firstLineChars="50" w:firstLine="90"/>
              <w:jc w:val="center"/>
              <w:rPr>
                <w:rStyle w:val="NormalCharacter"/>
                <w:rFonts w:ascii="宋体"/>
                <w:kern w:val="0"/>
                <w:szCs w:val="21"/>
              </w:rPr>
            </w:pPr>
            <w:r>
              <w:rPr>
                <w:rStyle w:val="NormalCharacter"/>
                <w:rFonts w:ascii="宋体"/>
                <w:kern w:val="0"/>
                <w:sz w:val="18"/>
                <w:szCs w:val="21"/>
              </w:rPr>
              <w:t>无色或微黄，清凉透明，无悬浮物，无沉淀</w:t>
            </w:r>
            <w:r>
              <w:rPr>
                <w:rStyle w:val="NormalCharacter"/>
                <w:rFonts w:ascii="宋体"/>
                <w:kern w:val="0"/>
                <w:sz w:val="18"/>
                <w:szCs w:val="21"/>
                <w:vertAlign w:val="superscript"/>
              </w:rPr>
              <w:t>a</w:t>
            </w:r>
          </w:p>
        </w:tc>
        <w:tc>
          <w:tcPr>
            <w:tcW w:w="2014" w:type="dxa"/>
            <w:vMerge w:val="restart"/>
            <w:tcBorders>
              <w:top w:val="single" w:sz="4" w:space="0" w:color="000000"/>
              <w:left w:val="single" w:sz="4" w:space="0" w:color="000000"/>
              <w:bottom w:val="single" w:sz="4" w:space="0" w:color="000000"/>
              <w:right w:val="single" w:sz="4" w:space="0" w:color="000000"/>
            </w:tcBorders>
            <w:vAlign w:val="center"/>
          </w:tcPr>
          <w:p w:rsidR="00A63F96" w:rsidRDefault="00A63F96">
            <w:pPr>
              <w:pStyle w:val="BodyTextIndent"/>
              <w:spacing w:line="400" w:lineRule="exact"/>
              <w:ind w:firstLineChars="0"/>
              <w:jc w:val="center"/>
              <w:rPr>
                <w:rStyle w:val="NormalCharacter"/>
                <w:color w:val="000000"/>
                <w:kern w:val="0"/>
                <w:sz w:val="18"/>
                <w:szCs w:val="18"/>
              </w:rPr>
            </w:pPr>
            <w:r>
              <w:rPr>
                <w:rStyle w:val="NormalCharacter"/>
                <w:sz w:val="18"/>
                <w:szCs w:val="18"/>
              </w:rPr>
              <w:t>GB/T 10345</w:t>
            </w:r>
          </w:p>
        </w:tc>
      </w:tr>
      <w:tr w:rsidR="00A63F96" w:rsidTr="004D4687">
        <w:trPr>
          <w:trHeight w:val="340"/>
          <w:jc w:val="center"/>
        </w:trPr>
        <w:tc>
          <w:tcPr>
            <w:tcW w:w="1715" w:type="dxa"/>
            <w:tcBorders>
              <w:top w:val="single" w:sz="4" w:space="0" w:color="000000"/>
              <w:left w:val="single" w:sz="4" w:space="0" w:color="000000"/>
              <w:bottom w:val="single" w:sz="4" w:space="0" w:color="000000"/>
              <w:right w:val="single" w:sz="4" w:space="0" w:color="000000"/>
            </w:tcBorders>
            <w:vAlign w:val="center"/>
          </w:tcPr>
          <w:p w:rsidR="00A63F96" w:rsidRDefault="00A63F96">
            <w:pPr>
              <w:jc w:val="center"/>
              <w:rPr>
                <w:rStyle w:val="NormalCharacter"/>
                <w:rFonts w:ascii="宋体"/>
                <w:kern w:val="0"/>
                <w:szCs w:val="21"/>
              </w:rPr>
            </w:pPr>
            <w:r>
              <w:rPr>
                <w:rStyle w:val="NormalCharacter"/>
                <w:rFonts w:ascii="宋体"/>
                <w:kern w:val="0"/>
                <w:sz w:val="18"/>
                <w:szCs w:val="21"/>
              </w:rPr>
              <w:t>香  气</w:t>
            </w:r>
          </w:p>
        </w:tc>
        <w:tc>
          <w:tcPr>
            <w:tcW w:w="5690" w:type="dxa"/>
            <w:tcBorders>
              <w:top w:val="single" w:sz="4" w:space="0" w:color="000000"/>
              <w:left w:val="single" w:sz="4" w:space="0" w:color="000000"/>
              <w:bottom w:val="single" w:sz="4" w:space="0" w:color="000000"/>
              <w:right w:val="single" w:sz="4" w:space="0" w:color="000000"/>
            </w:tcBorders>
            <w:vAlign w:val="center"/>
          </w:tcPr>
          <w:p w:rsidR="00A63F96" w:rsidRDefault="00EB414E">
            <w:pPr>
              <w:jc w:val="center"/>
              <w:rPr>
                <w:rStyle w:val="NormalCharacter"/>
                <w:rFonts w:ascii="宋体"/>
                <w:kern w:val="0"/>
                <w:szCs w:val="21"/>
              </w:rPr>
            </w:pPr>
            <w:r>
              <w:rPr>
                <w:rStyle w:val="NormalCharacter"/>
                <w:rFonts w:ascii="宋体" w:hint="eastAsia"/>
                <w:kern w:val="0"/>
                <w:sz w:val="18"/>
                <w:szCs w:val="21"/>
              </w:rPr>
              <w:t>香气</w:t>
            </w:r>
            <w:r w:rsidR="004A18FA">
              <w:rPr>
                <w:rStyle w:val="NormalCharacter"/>
                <w:rFonts w:ascii="宋体" w:hint="eastAsia"/>
                <w:kern w:val="0"/>
                <w:sz w:val="18"/>
                <w:szCs w:val="21"/>
              </w:rPr>
              <w:t>舒适兼有酱酒香气</w:t>
            </w:r>
          </w:p>
        </w:tc>
        <w:tc>
          <w:tcPr>
            <w:tcW w:w="2014" w:type="dxa"/>
            <w:vMerge/>
            <w:tcBorders>
              <w:top w:val="single" w:sz="4" w:space="0" w:color="000000"/>
              <w:left w:val="single" w:sz="4" w:space="0" w:color="000000"/>
              <w:bottom w:val="single" w:sz="4" w:space="0" w:color="000000"/>
              <w:right w:val="single" w:sz="4" w:space="0" w:color="000000"/>
            </w:tcBorders>
          </w:tcPr>
          <w:p w:rsidR="00A63F96" w:rsidRDefault="00A63F96">
            <w:pPr>
              <w:spacing w:line="400" w:lineRule="exact"/>
              <w:jc w:val="left"/>
              <w:rPr>
                <w:rStyle w:val="NormalCharacter"/>
                <w:rFonts w:ascii="宋体" w:hAnsi="宋体"/>
                <w:sz w:val="18"/>
                <w:szCs w:val="18"/>
              </w:rPr>
            </w:pPr>
          </w:p>
        </w:tc>
      </w:tr>
      <w:tr w:rsidR="00A63F96" w:rsidTr="004D4687">
        <w:trPr>
          <w:trHeight w:val="340"/>
          <w:jc w:val="center"/>
        </w:trPr>
        <w:tc>
          <w:tcPr>
            <w:tcW w:w="1715" w:type="dxa"/>
            <w:tcBorders>
              <w:top w:val="single" w:sz="4" w:space="0" w:color="000000"/>
              <w:left w:val="single" w:sz="4" w:space="0" w:color="000000"/>
              <w:bottom w:val="single" w:sz="4" w:space="0" w:color="000000"/>
              <w:right w:val="single" w:sz="4" w:space="0" w:color="000000"/>
            </w:tcBorders>
            <w:vAlign w:val="center"/>
          </w:tcPr>
          <w:p w:rsidR="00A63F96" w:rsidRDefault="00A63F96">
            <w:pPr>
              <w:jc w:val="center"/>
              <w:rPr>
                <w:rStyle w:val="NormalCharacter"/>
                <w:rFonts w:ascii="宋体"/>
                <w:kern w:val="0"/>
                <w:szCs w:val="21"/>
              </w:rPr>
            </w:pPr>
            <w:r>
              <w:rPr>
                <w:rStyle w:val="NormalCharacter"/>
                <w:rFonts w:ascii="宋体"/>
                <w:kern w:val="0"/>
                <w:sz w:val="18"/>
                <w:szCs w:val="21"/>
              </w:rPr>
              <w:t>口  味</w:t>
            </w:r>
          </w:p>
        </w:tc>
        <w:tc>
          <w:tcPr>
            <w:tcW w:w="5690" w:type="dxa"/>
            <w:tcBorders>
              <w:top w:val="single" w:sz="4" w:space="0" w:color="000000"/>
              <w:left w:val="single" w:sz="4" w:space="0" w:color="000000"/>
              <w:bottom w:val="single" w:sz="4" w:space="0" w:color="000000"/>
              <w:right w:val="single" w:sz="4" w:space="0" w:color="000000"/>
            </w:tcBorders>
            <w:vAlign w:val="center"/>
          </w:tcPr>
          <w:p w:rsidR="00A63F96" w:rsidRPr="00B06DD6" w:rsidRDefault="00EB414E">
            <w:pPr>
              <w:jc w:val="center"/>
              <w:rPr>
                <w:rStyle w:val="NormalCharacter"/>
                <w:rFonts w:ascii="宋体"/>
                <w:kern w:val="0"/>
                <w:szCs w:val="21"/>
              </w:rPr>
            </w:pPr>
            <w:r>
              <w:rPr>
                <w:rStyle w:val="NormalCharacter"/>
                <w:rFonts w:ascii="宋体"/>
                <w:kern w:val="0"/>
                <w:sz w:val="18"/>
                <w:szCs w:val="21"/>
              </w:rPr>
              <w:t>酒体</w:t>
            </w:r>
            <w:r w:rsidR="00A63F96" w:rsidRPr="00B06DD6">
              <w:rPr>
                <w:rStyle w:val="NormalCharacter"/>
                <w:rFonts w:ascii="宋体"/>
                <w:kern w:val="0"/>
                <w:sz w:val="18"/>
                <w:szCs w:val="21"/>
              </w:rPr>
              <w:t>醇厚、</w:t>
            </w:r>
            <w:r>
              <w:rPr>
                <w:rStyle w:val="NormalCharacter"/>
                <w:rFonts w:ascii="宋体"/>
                <w:kern w:val="0"/>
                <w:sz w:val="18"/>
                <w:szCs w:val="21"/>
              </w:rPr>
              <w:t>诸味协调</w:t>
            </w:r>
            <w:r>
              <w:rPr>
                <w:rStyle w:val="NormalCharacter"/>
                <w:rFonts w:ascii="宋体" w:hint="eastAsia"/>
                <w:kern w:val="0"/>
                <w:sz w:val="18"/>
                <w:szCs w:val="21"/>
              </w:rPr>
              <w:t>，</w:t>
            </w:r>
            <w:r w:rsidR="00A63F96" w:rsidRPr="00B06DD6">
              <w:rPr>
                <w:rStyle w:val="NormalCharacter"/>
                <w:rFonts w:ascii="宋体"/>
                <w:kern w:val="0"/>
                <w:sz w:val="18"/>
                <w:szCs w:val="21"/>
              </w:rPr>
              <w:t xml:space="preserve">柔和 </w:t>
            </w:r>
          </w:p>
        </w:tc>
        <w:tc>
          <w:tcPr>
            <w:tcW w:w="2014" w:type="dxa"/>
            <w:vMerge/>
            <w:tcBorders>
              <w:top w:val="single" w:sz="4" w:space="0" w:color="000000"/>
              <w:left w:val="single" w:sz="4" w:space="0" w:color="000000"/>
              <w:bottom w:val="single" w:sz="4" w:space="0" w:color="000000"/>
              <w:right w:val="single" w:sz="4" w:space="0" w:color="000000"/>
            </w:tcBorders>
          </w:tcPr>
          <w:p w:rsidR="00A63F96" w:rsidRDefault="00A63F96">
            <w:pPr>
              <w:spacing w:line="400" w:lineRule="exact"/>
              <w:jc w:val="left"/>
              <w:rPr>
                <w:rStyle w:val="NormalCharacter"/>
                <w:rFonts w:ascii="宋体" w:hAnsi="宋体"/>
                <w:sz w:val="18"/>
                <w:szCs w:val="18"/>
              </w:rPr>
            </w:pPr>
          </w:p>
        </w:tc>
      </w:tr>
      <w:tr w:rsidR="00A63F96" w:rsidTr="004D4687">
        <w:trPr>
          <w:trHeight w:val="340"/>
          <w:jc w:val="center"/>
        </w:trPr>
        <w:tc>
          <w:tcPr>
            <w:tcW w:w="1715" w:type="dxa"/>
            <w:tcBorders>
              <w:top w:val="single" w:sz="4" w:space="0" w:color="000000"/>
              <w:left w:val="single" w:sz="4" w:space="0" w:color="000000"/>
              <w:bottom w:val="single" w:sz="4" w:space="0" w:color="000000"/>
              <w:right w:val="single" w:sz="4" w:space="0" w:color="000000"/>
            </w:tcBorders>
            <w:vAlign w:val="center"/>
          </w:tcPr>
          <w:p w:rsidR="00A63F96" w:rsidRDefault="00A63F96">
            <w:pPr>
              <w:jc w:val="center"/>
              <w:rPr>
                <w:rStyle w:val="NormalCharacter"/>
                <w:rFonts w:ascii="宋体"/>
                <w:kern w:val="0"/>
                <w:szCs w:val="21"/>
              </w:rPr>
            </w:pPr>
            <w:r>
              <w:rPr>
                <w:rStyle w:val="NormalCharacter"/>
                <w:rFonts w:ascii="宋体"/>
                <w:kern w:val="0"/>
                <w:sz w:val="18"/>
                <w:szCs w:val="21"/>
              </w:rPr>
              <w:t>风  格</w:t>
            </w:r>
          </w:p>
        </w:tc>
        <w:tc>
          <w:tcPr>
            <w:tcW w:w="5690" w:type="dxa"/>
            <w:tcBorders>
              <w:top w:val="single" w:sz="4" w:space="0" w:color="000000"/>
              <w:left w:val="single" w:sz="4" w:space="0" w:color="000000"/>
              <w:bottom w:val="single" w:sz="4" w:space="0" w:color="000000"/>
              <w:right w:val="single" w:sz="4" w:space="0" w:color="000000"/>
            </w:tcBorders>
            <w:vAlign w:val="center"/>
          </w:tcPr>
          <w:p w:rsidR="00A63F96" w:rsidRPr="00B06DD6" w:rsidRDefault="00EB414E">
            <w:pPr>
              <w:jc w:val="center"/>
              <w:rPr>
                <w:rStyle w:val="NormalCharacter"/>
                <w:rFonts w:ascii="宋体"/>
                <w:kern w:val="0"/>
                <w:szCs w:val="21"/>
              </w:rPr>
            </w:pPr>
            <w:r>
              <w:rPr>
                <w:rStyle w:val="NormalCharacter"/>
                <w:rFonts w:ascii="宋体" w:hint="eastAsia"/>
                <w:kern w:val="0"/>
                <w:sz w:val="18"/>
                <w:szCs w:val="21"/>
              </w:rPr>
              <w:t>具有本品典型风格</w:t>
            </w:r>
          </w:p>
        </w:tc>
        <w:tc>
          <w:tcPr>
            <w:tcW w:w="2014" w:type="dxa"/>
            <w:vMerge/>
            <w:tcBorders>
              <w:top w:val="single" w:sz="4" w:space="0" w:color="000000"/>
              <w:left w:val="single" w:sz="4" w:space="0" w:color="000000"/>
              <w:bottom w:val="single" w:sz="4" w:space="0" w:color="000000"/>
              <w:right w:val="single" w:sz="4" w:space="0" w:color="000000"/>
            </w:tcBorders>
          </w:tcPr>
          <w:p w:rsidR="00A63F96" w:rsidRDefault="00A63F96">
            <w:pPr>
              <w:spacing w:line="400" w:lineRule="exact"/>
              <w:jc w:val="left"/>
              <w:rPr>
                <w:rStyle w:val="NormalCharacter"/>
                <w:rFonts w:ascii="宋体" w:hAnsi="宋体"/>
                <w:sz w:val="18"/>
                <w:szCs w:val="18"/>
              </w:rPr>
            </w:pPr>
          </w:p>
        </w:tc>
      </w:tr>
      <w:tr w:rsidR="00A63F96" w:rsidTr="004D4687">
        <w:trPr>
          <w:trHeight w:val="340"/>
          <w:jc w:val="center"/>
        </w:trPr>
        <w:tc>
          <w:tcPr>
            <w:tcW w:w="9419" w:type="dxa"/>
            <w:gridSpan w:val="3"/>
            <w:tcBorders>
              <w:top w:val="single" w:sz="4" w:space="0" w:color="000000"/>
              <w:left w:val="single" w:sz="4" w:space="0" w:color="000000"/>
              <w:bottom w:val="single" w:sz="4" w:space="0" w:color="000000"/>
              <w:right w:val="single" w:sz="4" w:space="0" w:color="000000"/>
            </w:tcBorders>
            <w:vAlign w:val="center"/>
          </w:tcPr>
          <w:p w:rsidR="00A63F96" w:rsidRDefault="00A63F96">
            <w:pPr>
              <w:spacing w:line="400" w:lineRule="exact"/>
              <w:rPr>
                <w:rStyle w:val="NormalCharacter"/>
                <w:rFonts w:ascii="宋体" w:hAnsi="宋体"/>
                <w:sz w:val="18"/>
                <w:szCs w:val="18"/>
              </w:rPr>
            </w:pPr>
            <w:r>
              <w:rPr>
                <w:rStyle w:val="NormalCharacter"/>
                <w:rFonts w:ascii="宋体" w:hAnsi="宋体"/>
                <w:sz w:val="18"/>
                <w:szCs w:val="18"/>
              </w:rPr>
              <w:t xml:space="preserve"> 注：</w:t>
            </w:r>
            <w:r>
              <w:rPr>
                <w:rStyle w:val="NormalCharacter"/>
                <w:rFonts w:ascii="宋体"/>
                <w:kern w:val="0"/>
                <w:sz w:val="18"/>
                <w:szCs w:val="21"/>
                <w:vertAlign w:val="superscript"/>
              </w:rPr>
              <w:t>a</w:t>
            </w:r>
            <w:r>
              <w:rPr>
                <w:rStyle w:val="NormalCharacter"/>
                <w:rFonts w:ascii="宋体" w:hAnsi="宋体"/>
                <w:sz w:val="18"/>
                <w:szCs w:val="18"/>
              </w:rPr>
              <w:t>当酒的温度低于10℃时，允许出现白色絮状沉淀物质或失光；10℃以上时应逐渐恢复正常</w:t>
            </w:r>
          </w:p>
        </w:tc>
      </w:tr>
    </w:tbl>
    <w:p w:rsidR="00680215" w:rsidRDefault="00715A1A">
      <w:pPr>
        <w:spacing w:before="156" w:after="156"/>
        <w:rPr>
          <w:rStyle w:val="NormalCharacter"/>
          <w:rFonts w:ascii="黑体" w:eastAsia="黑体" w:hAnsi="黑体"/>
          <w:szCs w:val="21"/>
        </w:rPr>
      </w:pPr>
      <w:r>
        <w:rPr>
          <w:rStyle w:val="NormalCharacter"/>
          <w:rFonts w:ascii="黑体" w:eastAsia="黑体" w:hAnsi="黑体"/>
          <w:szCs w:val="21"/>
        </w:rPr>
        <w:t>3.3  理化指标</w:t>
      </w:r>
    </w:p>
    <w:p w:rsidR="00680215" w:rsidRDefault="00715A1A">
      <w:pPr>
        <w:ind w:firstLineChars="200" w:firstLine="420"/>
        <w:rPr>
          <w:rStyle w:val="NormalCharacter"/>
          <w:rFonts w:ascii="宋体" w:hAnsi="宋体"/>
          <w:szCs w:val="21"/>
        </w:rPr>
      </w:pPr>
      <w:r>
        <w:rPr>
          <w:rStyle w:val="NormalCharacter"/>
          <w:rFonts w:ascii="宋体" w:hAnsi="宋体"/>
          <w:szCs w:val="21"/>
        </w:rPr>
        <w:t>应符合表2规定。</w:t>
      </w:r>
    </w:p>
    <w:p w:rsidR="00680215" w:rsidRDefault="00715A1A">
      <w:pPr>
        <w:spacing w:before="156" w:after="156"/>
        <w:jc w:val="center"/>
        <w:rPr>
          <w:rStyle w:val="NormalCharacter"/>
          <w:rFonts w:ascii="黑体" w:eastAsia="黑体" w:hAnsi="黑体"/>
          <w:szCs w:val="21"/>
        </w:rPr>
      </w:pPr>
      <w:r>
        <w:rPr>
          <w:rStyle w:val="NormalCharacter"/>
          <w:rFonts w:ascii="黑体" w:eastAsia="黑体" w:hAnsi="黑体"/>
          <w:szCs w:val="21"/>
        </w:rPr>
        <w:t>表2</w:t>
      </w:r>
    </w:p>
    <w:tbl>
      <w:tblPr>
        <w:tblW w:w="94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FFFF"/>
      </w:tblPr>
      <w:tblGrid>
        <w:gridCol w:w="3238"/>
        <w:gridCol w:w="4111"/>
        <w:gridCol w:w="2068"/>
      </w:tblGrid>
      <w:tr w:rsidR="00EB414E" w:rsidTr="006B063A">
        <w:trPr>
          <w:trHeight w:val="340"/>
          <w:jc w:val="center"/>
        </w:trPr>
        <w:tc>
          <w:tcPr>
            <w:tcW w:w="3238" w:type="dxa"/>
            <w:tcBorders>
              <w:top w:val="single" w:sz="4" w:space="0" w:color="000000"/>
              <w:left w:val="single" w:sz="4" w:space="0" w:color="000000"/>
              <w:bottom w:val="single" w:sz="4" w:space="0" w:color="000000"/>
              <w:right w:val="single" w:sz="4" w:space="0" w:color="000000"/>
            </w:tcBorders>
            <w:vAlign w:val="center"/>
          </w:tcPr>
          <w:p w:rsidR="00EB414E" w:rsidRDefault="00EB414E">
            <w:pPr>
              <w:spacing w:line="360" w:lineRule="exact"/>
              <w:jc w:val="center"/>
              <w:rPr>
                <w:rStyle w:val="NormalCharacter"/>
                <w:rFonts w:ascii="宋体" w:hAnsi="宋体"/>
                <w:sz w:val="18"/>
                <w:szCs w:val="18"/>
              </w:rPr>
            </w:pPr>
            <w:r>
              <w:rPr>
                <w:rStyle w:val="NormalCharacter"/>
                <w:rFonts w:ascii="宋体" w:hAnsi="宋体"/>
                <w:sz w:val="18"/>
                <w:szCs w:val="18"/>
              </w:rPr>
              <w:t>项  目</w:t>
            </w:r>
          </w:p>
        </w:tc>
        <w:tc>
          <w:tcPr>
            <w:tcW w:w="4111" w:type="dxa"/>
            <w:tcBorders>
              <w:top w:val="single" w:sz="4" w:space="0" w:color="000000"/>
              <w:left w:val="single" w:sz="4" w:space="0" w:color="000000"/>
              <w:right w:val="single" w:sz="4" w:space="0" w:color="000000"/>
            </w:tcBorders>
            <w:vAlign w:val="center"/>
          </w:tcPr>
          <w:p w:rsidR="00EB414E" w:rsidRDefault="00EB414E">
            <w:pPr>
              <w:spacing w:line="360" w:lineRule="exact"/>
              <w:jc w:val="center"/>
              <w:rPr>
                <w:rStyle w:val="NormalCharacter"/>
                <w:rFonts w:ascii="宋体" w:hAnsi="宋体"/>
                <w:sz w:val="18"/>
                <w:szCs w:val="18"/>
              </w:rPr>
            </w:pPr>
            <w:r>
              <w:rPr>
                <w:rStyle w:val="NormalCharacter"/>
                <w:rFonts w:ascii="宋体" w:hAnsi="宋体"/>
                <w:sz w:val="18"/>
                <w:szCs w:val="18"/>
              </w:rPr>
              <w:t>指  标</w:t>
            </w:r>
          </w:p>
        </w:tc>
        <w:tc>
          <w:tcPr>
            <w:tcW w:w="2068" w:type="dxa"/>
            <w:tcBorders>
              <w:top w:val="single" w:sz="4" w:space="0" w:color="000000"/>
              <w:left w:val="single" w:sz="4" w:space="0" w:color="000000"/>
              <w:bottom w:val="single" w:sz="4" w:space="0" w:color="000000"/>
              <w:right w:val="single" w:sz="4" w:space="0" w:color="000000"/>
            </w:tcBorders>
            <w:vAlign w:val="center"/>
          </w:tcPr>
          <w:p w:rsidR="00EB414E" w:rsidRDefault="00EB414E">
            <w:pPr>
              <w:spacing w:line="360" w:lineRule="exact"/>
              <w:jc w:val="center"/>
              <w:rPr>
                <w:rStyle w:val="NormalCharacter"/>
                <w:rFonts w:ascii="宋体" w:hAnsi="宋体"/>
                <w:sz w:val="18"/>
                <w:szCs w:val="18"/>
              </w:rPr>
            </w:pPr>
            <w:r>
              <w:rPr>
                <w:rStyle w:val="NormalCharacter"/>
                <w:rFonts w:ascii="宋体" w:hAnsi="宋体"/>
                <w:sz w:val="18"/>
                <w:szCs w:val="18"/>
              </w:rPr>
              <w:t>检验方法</w:t>
            </w:r>
          </w:p>
        </w:tc>
      </w:tr>
      <w:tr w:rsidR="00EB414E" w:rsidTr="006B063A">
        <w:trPr>
          <w:trHeight w:val="340"/>
          <w:jc w:val="center"/>
        </w:trPr>
        <w:tc>
          <w:tcPr>
            <w:tcW w:w="3238" w:type="dxa"/>
            <w:tcBorders>
              <w:top w:val="single" w:sz="4" w:space="0" w:color="000000"/>
              <w:left w:val="single" w:sz="4" w:space="0" w:color="000000"/>
              <w:bottom w:val="single" w:sz="4" w:space="0" w:color="000000"/>
              <w:right w:val="single" w:sz="4" w:space="0" w:color="000000"/>
            </w:tcBorders>
            <w:vAlign w:val="center"/>
          </w:tcPr>
          <w:p w:rsidR="00EB414E" w:rsidRDefault="00EB414E" w:rsidP="004A18FA">
            <w:pPr>
              <w:spacing w:line="360" w:lineRule="exact"/>
              <w:ind w:firstLineChars="50" w:firstLine="90"/>
              <w:rPr>
                <w:rStyle w:val="NormalCharacter"/>
                <w:rFonts w:ascii="宋体" w:hAnsi="宋体"/>
                <w:sz w:val="18"/>
                <w:szCs w:val="18"/>
              </w:rPr>
            </w:pPr>
            <w:r>
              <w:rPr>
                <w:rStyle w:val="NormalCharacter"/>
                <w:rFonts w:ascii="宋体" w:hAnsi="宋体"/>
                <w:sz w:val="18"/>
                <w:szCs w:val="18"/>
              </w:rPr>
              <w:t>酒精度</w:t>
            </w:r>
            <w:r>
              <w:rPr>
                <w:rStyle w:val="NormalCharacter"/>
                <w:rFonts w:ascii="宋体" w:hAnsi="宋体"/>
                <w:sz w:val="18"/>
                <w:szCs w:val="18"/>
                <w:vertAlign w:val="superscript"/>
              </w:rPr>
              <w:t>α</w:t>
            </w:r>
            <w:r>
              <w:rPr>
                <w:rStyle w:val="NormalCharacter"/>
                <w:rFonts w:ascii="宋体" w:hAnsi="宋体"/>
                <w:sz w:val="18"/>
                <w:szCs w:val="18"/>
              </w:rPr>
              <w:t>（20℃）/（%vol）</w:t>
            </w:r>
          </w:p>
        </w:tc>
        <w:tc>
          <w:tcPr>
            <w:tcW w:w="4111" w:type="dxa"/>
            <w:tcBorders>
              <w:top w:val="single" w:sz="4" w:space="0" w:color="000000"/>
              <w:left w:val="single" w:sz="4" w:space="0" w:color="000000"/>
              <w:bottom w:val="single" w:sz="4" w:space="0" w:color="000000"/>
              <w:right w:val="single" w:sz="4" w:space="0" w:color="000000"/>
            </w:tcBorders>
            <w:vAlign w:val="center"/>
          </w:tcPr>
          <w:p w:rsidR="00EB414E" w:rsidRDefault="00EB414E">
            <w:pPr>
              <w:jc w:val="center"/>
              <w:rPr>
                <w:rStyle w:val="NormalCharacter"/>
                <w:rFonts w:ascii="宋体" w:hAnsi="宋体"/>
                <w:sz w:val="18"/>
                <w:szCs w:val="18"/>
              </w:rPr>
            </w:pPr>
            <w:r>
              <w:rPr>
                <w:rStyle w:val="NormalCharacter"/>
                <w:rFonts w:ascii="宋体" w:hAnsi="宋体" w:hint="eastAsia"/>
                <w:sz w:val="18"/>
                <w:szCs w:val="18"/>
              </w:rPr>
              <w:t>53</w:t>
            </w:r>
          </w:p>
        </w:tc>
        <w:tc>
          <w:tcPr>
            <w:tcW w:w="2068" w:type="dxa"/>
            <w:tcBorders>
              <w:top w:val="single" w:sz="4" w:space="0" w:color="000000"/>
              <w:left w:val="single" w:sz="4" w:space="0" w:color="000000"/>
              <w:bottom w:val="single" w:sz="4" w:space="0" w:color="000000"/>
              <w:right w:val="single" w:sz="4" w:space="0" w:color="000000"/>
            </w:tcBorders>
            <w:vAlign w:val="center"/>
          </w:tcPr>
          <w:p w:rsidR="00EB414E" w:rsidRDefault="00EB414E">
            <w:pPr>
              <w:spacing w:line="360" w:lineRule="exact"/>
              <w:jc w:val="center"/>
              <w:rPr>
                <w:rStyle w:val="NormalCharacter"/>
                <w:rFonts w:ascii="宋体" w:hAnsi="宋体"/>
                <w:sz w:val="18"/>
                <w:szCs w:val="18"/>
              </w:rPr>
            </w:pPr>
            <w:r>
              <w:rPr>
                <w:rStyle w:val="NormalCharacter"/>
                <w:rFonts w:ascii="宋体" w:hAnsi="宋体"/>
                <w:bCs/>
                <w:sz w:val="18"/>
                <w:szCs w:val="18"/>
              </w:rPr>
              <w:t>GB 5009.225</w:t>
            </w:r>
          </w:p>
        </w:tc>
      </w:tr>
      <w:tr w:rsidR="00EB414E" w:rsidTr="006B063A">
        <w:trPr>
          <w:trHeight w:val="340"/>
          <w:jc w:val="center"/>
        </w:trPr>
        <w:tc>
          <w:tcPr>
            <w:tcW w:w="3238" w:type="dxa"/>
            <w:tcBorders>
              <w:top w:val="single" w:sz="4" w:space="0" w:color="000000"/>
              <w:left w:val="single" w:sz="4" w:space="0" w:color="000000"/>
              <w:bottom w:val="single" w:sz="4" w:space="0" w:color="000000"/>
              <w:right w:val="single" w:sz="4" w:space="0" w:color="000000"/>
            </w:tcBorders>
            <w:vAlign w:val="center"/>
          </w:tcPr>
          <w:p w:rsidR="00EB414E" w:rsidRDefault="00EB414E" w:rsidP="004A18FA">
            <w:pPr>
              <w:spacing w:line="360" w:lineRule="exact"/>
              <w:ind w:firstLineChars="50" w:firstLine="90"/>
              <w:rPr>
                <w:rStyle w:val="NormalCharacter"/>
                <w:rFonts w:ascii="宋体" w:hAnsi="宋体"/>
                <w:sz w:val="18"/>
                <w:szCs w:val="18"/>
              </w:rPr>
            </w:pPr>
            <w:r>
              <w:rPr>
                <w:rStyle w:val="NormalCharacter"/>
                <w:rFonts w:ascii="宋体" w:hAnsi="宋体"/>
                <w:sz w:val="18"/>
                <w:szCs w:val="18"/>
              </w:rPr>
              <w:t>总酸（以乙酸计）/（g/L）</w:t>
            </w:r>
          </w:p>
        </w:tc>
        <w:tc>
          <w:tcPr>
            <w:tcW w:w="4111" w:type="dxa"/>
            <w:tcBorders>
              <w:top w:val="single" w:sz="4" w:space="0" w:color="000000"/>
              <w:left w:val="single" w:sz="4" w:space="0" w:color="000000"/>
              <w:bottom w:val="single" w:sz="4" w:space="0" w:color="000000"/>
              <w:right w:val="single" w:sz="4" w:space="0" w:color="000000"/>
            </w:tcBorders>
            <w:vAlign w:val="center"/>
          </w:tcPr>
          <w:p w:rsidR="00EB414E" w:rsidRDefault="00EB414E">
            <w:pPr>
              <w:jc w:val="center"/>
              <w:rPr>
                <w:rStyle w:val="NormalCharacter"/>
                <w:rFonts w:ascii="宋体" w:hAnsi="宋体"/>
                <w:sz w:val="18"/>
                <w:szCs w:val="18"/>
              </w:rPr>
            </w:pPr>
            <w:r>
              <w:rPr>
                <w:rStyle w:val="NormalCharacter"/>
                <w:rFonts w:ascii="宋体" w:hAnsi="宋体" w:hint="eastAsia"/>
                <w:sz w:val="18"/>
                <w:szCs w:val="18"/>
              </w:rPr>
              <w:t>0</w:t>
            </w:r>
            <w:r w:rsidRPr="00B06DD6">
              <w:rPr>
                <w:rStyle w:val="NormalCharacter"/>
                <w:rFonts w:ascii="宋体" w:hAnsi="宋体"/>
                <w:sz w:val="18"/>
                <w:szCs w:val="18"/>
              </w:rPr>
              <w:t>.</w:t>
            </w:r>
            <w:r>
              <w:rPr>
                <w:rStyle w:val="NormalCharacter"/>
                <w:rFonts w:ascii="宋体" w:hAnsi="宋体" w:hint="eastAsia"/>
                <w:sz w:val="18"/>
                <w:szCs w:val="18"/>
              </w:rPr>
              <w:t>2-1.5</w:t>
            </w:r>
          </w:p>
        </w:tc>
        <w:tc>
          <w:tcPr>
            <w:tcW w:w="2068" w:type="dxa"/>
            <w:vMerge w:val="restart"/>
            <w:tcBorders>
              <w:top w:val="single" w:sz="4" w:space="0" w:color="000000"/>
              <w:left w:val="single" w:sz="4" w:space="0" w:color="000000"/>
              <w:bottom w:val="single" w:sz="4" w:space="0" w:color="000000"/>
              <w:right w:val="single" w:sz="4" w:space="0" w:color="000000"/>
            </w:tcBorders>
            <w:vAlign w:val="center"/>
          </w:tcPr>
          <w:p w:rsidR="00EB414E" w:rsidRDefault="00EB414E">
            <w:pPr>
              <w:spacing w:line="360" w:lineRule="exact"/>
              <w:jc w:val="center"/>
              <w:rPr>
                <w:rStyle w:val="NormalCharacter"/>
                <w:rFonts w:ascii="宋体" w:hAnsi="宋体"/>
                <w:bCs/>
                <w:sz w:val="18"/>
                <w:szCs w:val="18"/>
              </w:rPr>
            </w:pPr>
            <w:r>
              <w:rPr>
                <w:rStyle w:val="NormalCharacter"/>
                <w:rFonts w:ascii="宋体" w:hAnsi="宋体"/>
                <w:sz w:val="18"/>
                <w:szCs w:val="18"/>
              </w:rPr>
              <w:t>GB/T 10345</w:t>
            </w:r>
          </w:p>
        </w:tc>
      </w:tr>
      <w:tr w:rsidR="00EB414E" w:rsidTr="006B063A">
        <w:trPr>
          <w:trHeight w:val="340"/>
          <w:jc w:val="center"/>
        </w:trPr>
        <w:tc>
          <w:tcPr>
            <w:tcW w:w="3238" w:type="dxa"/>
            <w:tcBorders>
              <w:top w:val="single" w:sz="4" w:space="0" w:color="000000"/>
              <w:left w:val="single" w:sz="4" w:space="0" w:color="000000"/>
              <w:bottom w:val="single" w:sz="4" w:space="0" w:color="000000"/>
              <w:right w:val="single" w:sz="4" w:space="0" w:color="000000"/>
            </w:tcBorders>
            <w:vAlign w:val="center"/>
          </w:tcPr>
          <w:p w:rsidR="00EB414E" w:rsidRDefault="00EB414E" w:rsidP="004A18FA">
            <w:pPr>
              <w:spacing w:line="360" w:lineRule="exact"/>
              <w:ind w:firstLineChars="50" w:firstLine="90"/>
              <w:rPr>
                <w:rStyle w:val="NormalCharacter"/>
                <w:rFonts w:ascii="宋体" w:hAnsi="宋体"/>
                <w:sz w:val="18"/>
                <w:szCs w:val="18"/>
              </w:rPr>
            </w:pPr>
            <w:r>
              <w:rPr>
                <w:rStyle w:val="NormalCharacter"/>
                <w:rFonts w:ascii="宋体" w:hAnsi="宋体"/>
                <w:sz w:val="18"/>
                <w:szCs w:val="18"/>
              </w:rPr>
              <w:t>总脂（以乙酸乙酯计）/（g/L）</w:t>
            </w:r>
          </w:p>
        </w:tc>
        <w:tc>
          <w:tcPr>
            <w:tcW w:w="4111" w:type="dxa"/>
            <w:tcBorders>
              <w:top w:val="single" w:sz="4" w:space="0" w:color="000000"/>
              <w:left w:val="single" w:sz="4" w:space="0" w:color="000000"/>
              <w:bottom w:val="single" w:sz="4" w:space="0" w:color="000000"/>
              <w:right w:val="single" w:sz="4" w:space="0" w:color="000000"/>
            </w:tcBorders>
            <w:vAlign w:val="center"/>
          </w:tcPr>
          <w:p w:rsidR="00EB414E" w:rsidRDefault="00EB414E">
            <w:pPr>
              <w:jc w:val="center"/>
              <w:rPr>
                <w:rStyle w:val="NormalCharacter"/>
                <w:rFonts w:ascii="宋体" w:hAnsi="宋体"/>
                <w:sz w:val="18"/>
                <w:szCs w:val="18"/>
              </w:rPr>
            </w:pPr>
            <w:r>
              <w:rPr>
                <w:rStyle w:val="NormalCharacter"/>
                <w:rFonts w:ascii="宋体" w:hAnsi="宋体" w:hint="eastAsia"/>
                <w:sz w:val="18"/>
                <w:szCs w:val="18"/>
              </w:rPr>
              <w:t>1.5-2.2</w:t>
            </w:r>
          </w:p>
        </w:tc>
        <w:tc>
          <w:tcPr>
            <w:tcW w:w="2068" w:type="dxa"/>
            <w:vMerge/>
            <w:tcBorders>
              <w:top w:val="single" w:sz="4" w:space="0" w:color="000000"/>
              <w:left w:val="single" w:sz="4" w:space="0" w:color="000000"/>
              <w:bottom w:val="single" w:sz="4" w:space="0" w:color="000000"/>
              <w:right w:val="single" w:sz="4" w:space="0" w:color="000000"/>
            </w:tcBorders>
            <w:vAlign w:val="center"/>
          </w:tcPr>
          <w:p w:rsidR="00EB414E" w:rsidRDefault="00EB414E">
            <w:pPr>
              <w:spacing w:line="360" w:lineRule="exact"/>
              <w:jc w:val="center"/>
              <w:rPr>
                <w:rStyle w:val="NormalCharacter"/>
                <w:rFonts w:ascii="宋体" w:hAnsi="宋体"/>
                <w:bCs/>
                <w:sz w:val="18"/>
                <w:szCs w:val="18"/>
              </w:rPr>
            </w:pPr>
          </w:p>
        </w:tc>
      </w:tr>
      <w:tr w:rsidR="004A18FA" w:rsidTr="006B063A">
        <w:trPr>
          <w:trHeight w:val="340"/>
          <w:jc w:val="center"/>
        </w:trPr>
        <w:tc>
          <w:tcPr>
            <w:tcW w:w="3238" w:type="dxa"/>
            <w:tcBorders>
              <w:top w:val="single" w:sz="4" w:space="0" w:color="000000"/>
              <w:left w:val="single" w:sz="4" w:space="0" w:color="000000"/>
              <w:bottom w:val="single" w:sz="4" w:space="0" w:color="000000"/>
              <w:right w:val="single" w:sz="4" w:space="0" w:color="000000"/>
            </w:tcBorders>
            <w:vAlign w:val="center"/>
          </w:tcPr>
          <w:p w:rsidR="004A18FA" w:rsidRDefault="004A18FA" w:rsidP="004A18FA">
            <w:pPr>
              <w:spacing w:line="360" w:lineRule="exact"/>
              <w:ind w:firstLineChars="50" w:firstLine="90"/>
              <w:rPr>
                <w:rStyle w:val="NormalCharacter"/>
                <w:rFonts w:ascii="宋体" w:hAnsi="宋体"/>
                <w:sz w:val="18"/>
                <w:szCs w:val="18"/>
              </w:rPr>
            </w:pPr>
            <w:r>
              <w:rPr>
                <w:rStyle w:val="NormalCharacter"/>
                <w:rFonts w:ascii="宋体" w:hAnsi="宋体" w:hint="eastAsia"/>
                <w:sz w:val="18"/>
                <w:szCs w:val="18"/>
              </w:rPr>
              <w:t>pH</w:t>
            </w:r>
          </w:p>
        </w:tc>
        <w:tc>
          <w:tcPr>
            <w:tcW w:w="4111" w:type="dxa"/>
            <w:tcBorders>
              <w:top w:val="single" w:sz="4" w:space="0" w:color="000000"/>
              <w:left w:val="single" w:sz="4" w:space="0" w:color="000000"/>
              <w:bottom w:val="single" w:sz="4" w:space="0" w:color="000000"/>
              <w:right w:val="single" w:sz="4" w:space="0" w:color="000000"/>
            </w:tcBorders>
            <w:vAlign w:val="center"/>
          </w:tcPr>
          <w:p w:rsidR="004A18FA" w:rsidRDefault="004A18FA">
            <w:pPr>
              <w:spacing w:line="360" w:lineRule="exact"/>
              <w:jc w:val="center"/>
              <w:rPr>
                <w:rStyle w:val="NormalCharacter"/>
                <w:rFonts w:ascii="宋体" w:hAnsi="宋体"/>
                <w:sz w:val="18"/>
                <w:szCs w:val="18"/>
              </w:rPr>
            </w:pPr>
            <w:r>
              <w:rPr>
                <w:rStyle w:val="NormalCharacter"/>
                <w:rFonts w:ascii="宋体" w:hAnsi="宋体" w:hint="eastAsia"/>
                <w:sz w:val="18"/>
                <w:szCs w:val="18"/>
              </w:rPr>
              <w:t>7.0-7.8</w:t>
            </w:r>
          </w:p>
        </w:tc>
        <w:tc>
          <w:tcPr>
            <w:tcW w:w="2068" w:type="dxa"/>
            <w:tcBorders>
              <w:top w:val="single" w:sz="4" w:space="0" w:color="000000"/>
              <w:left w:val="single" w:sz="4" w:space="0" w:color="000000"/>
              <w:bottom w:val="single" w:sz="4" w:space="0" w:color="000000"/>
              <w:right w:val="single" w:sz="4" w:space="0" w:color="000000"/>
            </w:tcBorders>
            <w:vAlign w:val="center"/>
          </w:tcPr>
          <w:p w:rsidR="004A18FA" w:rsidRDefault="004A18FA">
            <w:pPr>
              <w:spacing w:line="360" w:lineRule="exact"/>
              <w:jc w:val="center"/>
              <w:rPr>
                <w:rStyle w:val="NormalCharacter"/>
                <w:rFonts w:ascii="宋体" w:hAnsi="宋体"/>
                <w:bCs/>
                <w:sz w:val="18"/>
                <w:szCs w:val="18"/>
              </w:rPr>
            </w:pPr>
            <w:r>
              <w:rPr>
                <w:rStyle w:val="NormalCharacter"/>
                <w:rFonts w:ascii="宋体" w:hAnsi="宋体" w:hint="eastAsia"/>
                <w:bCs/>
                <w:sz w:val="18"/>
                <w:szCs w:val="18"/>
              </w:rPr>
              <w:t>GB 5009.237</w:t>
            </w:r>
          </w:p>
        </w:tc>
      </w:tr>
      <w:tr w:rsidR="00680215" w:rsidTr="006B063A">
        <w:trPr>
          <w:trHeight w:val="340"/>
          <w:jc w:val="center"/>
        </w:trPr>
        <w:tc>
          <w:tcPr>
            <w:tcW w:w="3238" w:type="dxa"/>
            <w:tcBorders>
              <w:top w:val="single" w:sz="4" w:space="0" w:color="000000"/>
              <w:left w:val="single" w:sz="4" w:space="0" w:color="000000"/>
              <w:bottom w:val="single" w:sz="4" w:space="0" w:color="000000"/>
              <w:right w:val="single" w:sz="4" w:space="0" w:color="000000"/>
            </w:tcBorders>
            <w:vAlign w:val="center"/>
          </w:tcPr>
          <w:p w:rsidR="00680215" w:rsidRDefault="00715A1A" w:rsidP="004A18FA">
            <w:pPr>
              <w:spacing w:line="360" w:lineRule="exact"/>
              <w:ind w:firstLineChars="50" w:firstLine="90"/>
              <w:rPr>
                <w:rStyle w:val="NormalCharacter"/>
                <w:rFonts w:ascii="宋体" w:hAnsi="宋体"/>
                <w:sz w:val="18"/>
                <w:szCs w:val="18"/>
              </w:rPr>
            </w:pPr>
            <w:r>
              <w:rPr>
                <w:rStyle w:val="NormalCharacter"/>
                <w:rFonts w:ascii="宋体" w:hAnsi="宋体"/>
                <w:sz w:val="18"/>
                <w:szCs w:val="18"/>
              </w:rPr>
              <w:t>铅（以Pb计），mg/kg</w:t>
            </w:r>
          </w:p>
        </w:tc>
        <w:tc>
          <w:tcPr>
            <w:tcW w:w="4111" w:type="dxa"/>
            <w:tcBorders>
              <w:top w:val="single" w:sz="4" w:space="0" w:color="000000"/>
              <w:left w:val="single" w:sz="4" w:space="0" w:color="000000"/>
              <w:bottom w:val="single" w:sz="4" w:space="0" w:color="000000"/>
              <w:right w:val="single" w:sz="4" w:space="0" w:color="000000"/>
            </w:tcBorders>
            <w:vAlign w:val="center"/>
          </w:tcPr>
          <w:p w:rsidR="00680215" w:rsidRDefault="00715A1A">
            <w:pPr>
              <w:spacing w:line="360" w:lineRule="exact"/>
              <w:jc w:val="center"/>
              <w:rPr>
                <w:rStyle w:val="NormalCharacter"/>
                <w:rFonts w:ascii="宋体" w:hAnsi="宋体"/>
                <w:sz w:val="18"/>
                <w:szCs w:val="18"/>
              </w:rPr>
            </w:pPr>
            <w:r>
              <w:rPr>
                <w:rStyle w:val="NormalCharacter"/>
                <w:rFonts w:ascii="宋体" w:hAnsi="宋体"/>
                <w:sz w:val="18"/>
                <w:szCs w:val="18"/>
              </w:rPr>
              <w:t>≤0.5</w:t>
            </w:r>
          </w:p>
        </w:tc>
        <w:tc>
          <w:tcPr>
            <w:tcW w:w="2068" w:type="dxa"/>
            <w:tcBorders>
              <w:top w:val="single" w:sz="4" w:space="0" w:color="000000"/>
              <w:left w:val="single" w:sz="4" w:space="0" w:color="000000"/>
              <w:bottom w:val="single" w:sz="4" w:space="0" w:color="000000"/>
              <w:right w:val="single" w:sz="4" w:space="0" w:color="000000"/>
            </w:tcBorders>
            <w:vAlign w:val="center"/>
          </w:tcPr>
          <w:p w:rsidR="00680215" w:rsidRDefault="00715A1A">
            <w:pPr>
              <w:spacing w:line="360" w:lineRule="exact"/>
              <w:jc w:val="center"/>
              <w:rPr>
                <w:rStyle w:val="NormalCharacter"/>
                <w:rFonts w:ascii="宋体" w:hAnsi="宋体"/>
                <w:sz w:val="18"/>
                <w:szCs w:val="18"/>
              </w:rPr>
            </w:pPr>
            <w:r>
              <w:rPr>
                <w:rStyle w:val="NormalCharacter"/>
                <w:rFonts w:ascii="宋体" w:hAnsi="宋体"/>
                <w:bCs/>
                <w:sz w:val="18"/>
                <w:szCs w:val="18"/>
              </w:rPr>
              <w:t>GB 5009.12</w:t>
            </w:r>
          </w:p>
        </w:tc>
      </w:tr>
      <w:tr w:rsidR="00680215" w:rsidTr="006B063A">
        <w:trPr>
          <w:trHeight w:val="340"/>
          <w:jc w:val="center"/>
        </w:trPr>
        <w:tc>
          <w:tcPr>
            <w:tcW w:w="3238" w:type="dxa"/>
            <w:tcBorders>
              <w:top w:val="single" w:sz="4" w:space="0" w:color="000000"/>
              <w:left w:val="single" w:sz="4" w:space="0" w:color="000000"/>
              <w:bottom w:val="single" w:sz="4" w:space="0" w:color="000000"/>
              <w:right w:val="single" w:sz="4" w:space="0" w:color="000000"/>
            </w:tcBorders>
            <w:vAlign w:val="center"/>
          </w:tcPr>
          <w:p w:rsidR="00680215" w:rsidRDefault="00715A1A" w:rsidP="004A18FA">
            <w:pPr>
              <w:pStyle w:val="UserStyle4"/>
              <w:ind w:firstLineChars="50" w:firstLine="90"/>
              <w:jc w:val="both"/>
              <w:rPr>
                <w:rStyle w:val="NormalCharacter"/>
                <w:rFonts w:ascii="宋体" w:eastAsia="宋体" w:hAnsi="宋体"/>
                <w:sz w:val="18"/>
                <w:szCs w:val="18"/>
              </w:rPr>
            </w:pPr>
            <w:r>
              <w:rPr>
                <w:rStyle w:val="NormalCharacter"/>
                <w:rFonts w:ascii="宋体" w:eastAsia="宋体" w:hAnsi="宋体"/>
                <w:sz w:val="18"/>
                <w:szCs w:val="18"/>
              </w:rPr>
              <w:t>甲醇</w:t>
            </w:r>
            <w:r>
              <w:rPr>
                <w:rStyle w:val="NormalCharacter"/>
                <w:rFonts w:ascii="宋体" w:eastAsia="宋体" w:hAnsi="宋体"/>
                <w:sz w:val="18"/>
                <w:szCs w:val="18"/>
                <w:vertAlign w:val="superscript"/>
              </w:rPr>
              <w:t>β</w:t>
            </w:r>
            <w:r>
              <w:rPr>
                <w:rStyle w:val="NormalCharacter"/>
                <w:rFonts w:ascii="宋体" w:eastAsia="宋体" w:hAnsi="宋体"/>
                <w:sz w:val="18"/>
                <w:szCs w:val="18"/>
              </w:rPr>
              <w:t xml:space="preserve"> /(</w:t>
            </w:r>
            <w:r>
              <w:rPr>
                <w:rStyle w:val="NormalCharacter"/>
                <w:rFonts w:ascii="宋体" w:eastAsia="宋体" w:hAnsi="宋体"/>
                <w:color w:val="000000"/>
                <w:sz w:val="18"/>
                <w:szCs w:val="18"/>
              </w:rPr>
              <w:t>g/L)</w:t>
            </w:r>
          </w:p>
        </w:tc>
        <w:tc>
          <w:tcPr>
            <w:tcW w:w="4111" w:type="dxa"/>
            <w:tcBorders>
              <w:top w:val="single" w:sz="4" w:space="0" w:color="000000"/>
              <w:left w:val="single" w:sz="4" w:space="0" w:color="000000"/>
              <w:bottom w:val="single" w:sz="4" w:space="0" w:color="000000"/>
              <w:right w:val="single" w:sz="4" w:space="0" w:color="000000"/>
            </w:tcBorders>
            <w:vAlign w:val="center"/>
          </w:tcPr>
          <w:p w:rsidR="00680215" w:rsidRDefault="00715A1A">
            <w:pPr>
              <w:pStyle w:val="UserStyle4"/>
              <w:jc w:val="center"/>
              <w:rPr>
                <w:rStyle w:val="NormalCharacter"/>
                <w:rFonts w:ascii="宋体" w:eastAsia="宋体" w:hAnsi="宋体"/>
                <w:sz w:val="18"/>
                <w:szCs w:val="18"/>
              </w:rPr>
            </w:pPr>
            <w:r>
              <w:rPr>
                <w:rStyle w:val="NormalCharacter"/>
                <w:rFonts w:ascii="宋体" w:eastAsia="宋体" w:hAnsi="宋体"/>
                <w:sz w:val="18"/>
                <w:szCs w:val="18"/>
              </w:rPr>
              <w:t>≤0.6</w:t>
            </w:r>
          </w:p>
        </w:tc>
        <w:tc>
          <w:tcPr>
            <w:tcW w:w="2068" w:type="dxa"/>
            <w:tcBorders>
              <w:top w:val="single" w:sz="4" w:space="0" w:color="000000"/>
              <w:left w:val="single" w:sz="4" w:space="0" w:color="000000"/>
              <w:bottom w:val="single" w:sz="4" w:space="0" w:color="000000"/>
              <w:right w:val="single" w:sz="4" w:space="0" w:color="000000"/>
            </w:tcBorders>
            <w:vAlign w:val="center"/>
          </w:tcPr>
          <w:p w:rsidR="00680215" w:rsidRDefault="00715A1A">
            <w:pPr>
              <w:pStyle w:val="UserStyle4"/>
              <w:jc w:val="center"/>
              <w:rPr>
                <w:rStyle w:val="NormalCharacter"/>
                <w:rFonts w:ascii="宋体" w:eastAsia="宋体" w:hAnsi="宋体"/>
                <w:sz w:val="18"/>
                <w:szCs w:val="18"/>
              </w:rPr>
            </w:pPr>
            <w:r>
              <w:rPr>
                <w:rStyle w:val="NormalCharacter"/>
                <w:rFonts w:ascii="宋体" w:hAnsi="宋体"/>
                <w:bCs/>
                <w:sz w:val="18"/>
                <w:szCs w:val="18"/>
              </w:rPr>
              <w:t>GB 5009.266</w:t>
            </w:r>
          </w:p>
        </w:tc>
      </w:tr>
      <w:tr w:rsidR="00680215" w:rsidTr="006B063A">
        <w:trPr>
          <w:trHeight w:val="340"/>
          <w:jc w:val="center"/>
        </w:trPr>
        <w:tc>
          <w:tcPr>
            <w:tcW w:w="3238" w:type="dxa"/>
            <w:tcBorders>
              <w:top w:val="single" w:sz="4" w:space="0" w:color="000000"/>
              <w:left w:val="single" w:sz="4" w:space="0" w:color="000000"/>
              <w:bottom w:val="single" w:sz="4" w:space="0" w:color="000000"/>
              <w:right w:val="single" w:sz="4" w:space="0" w:color="000000"/>
            </w:tcBorders>
            <w:vAlign w:val="center"/>
          </w:tcPr>
          <w:p w:rsidR="00680215" w:rsidRDefault="00715A1A" w:rsidP="004A18FA">
            <w:pPr>
              <w:pStyle w:val="UserStyle4"/>
              <w:ind w:firstLineChars="50" w:firstLine="90"/>
              <w:jc w:val="both"/>
              <w:rPr>
                <w:rStyle w:val="NormalCharacter"/>
                <w:rFonts w:ascii="宋体" w:eastAsia="宋体" w:hAnsi="宋体"/>
                <w:sz w:val="18"/>
                <w:szCs w:val="18"/>
              </w:rPr>
            </w:pPr>
            <w:r>
              <w:rPr>
                <w:rStyle w:val="NormalCharacter"/>
                <w:rFonts w:ascii="宋体" w:eastAsia="宋体" w:hAnsi="宋体"/>
                <w:sz w:val="18"/>
                <w:szCs w:val="18"/>
              </w:rPr>
              <w:t>氰化物</w:t>
            </w:r>
            <w:r>
              <w:rPr>
                <w:rStyle w:val="NormalCharacter"/>
                <w:rFonts w:ascii="宋体" w:eastAsia="宋体" w:hAnsi="宋体"/>
                <w:sz w:val="18"/>
                <w:szCs w:val="18"/>
                <w:vertAlign w:val="superscript"/>
              </w:rPr>
              <w:t>β</w:t>
            </w:r>
            <w:r>
              <w:rPr>
                <w:rStyle w:val="NormalCharacter"/>
                <w:rFonts w:ascii="宋体" w:eastAsia="宋体" w:hAnsi="宋体"/>
                <w:sz w:val="18"/>
                <w:szCs w:val="18"/>
              </w:rPr>
              <w:t>（以HCN计）/(</w:t>
            </w:r>
            <w:r>
              <w:rPr>
                <w:rStyle w:val="NormalCharacter"/>
                <w:rFonts w:ascii="宋体" w:eastAsia="宋体" w:hAnsi="宋体"/>
                <w:color w:val="000000"/>
                <w:sz w:val="18"/>
                <w:szCs w:val="18"/>
              </w:rPr>
              <w:t>mg/L)</w:t>
            </w:r>
          </w:p>
        </w:tc>
        <w:tc>
          <w:tcPr>
            <w:tcW w:w="4111" w:type="dxa"/>
            <w:tcBorders>
              <w:top w:val="single" w:sz="4" w:space="0" w:color="000000"/>
              <w:left w:val="single" w:sz="4" w:space="0" w:color="000000"/>
              <w:bottom w:val="single" w:sz="4" w:space="0" w:color="000000"/>
              <w:right w:val="single" w:sz="4" w:space="0" w:color="000000"/>
            </w:tcBorders>
            <w:vAlign w:val="center"/>
          </w:tcPr>
          <w:p w:rsidR="00680215" w:rsidRDefault="00715A1A">
            <w:pPr>
              <w:pStyle w:val="UserStyle4"/>
              <w:jc w:val="center"/>
              <w:rPr>
                <w:rStyle w:val="NormalCharacter"/>
                <w:rFonts w:ascii="宋体" w:eastAsia="宋体" w:hAnsi="宋体"/>
                <w:sz w:val="18"/>
                <w:szCs w:val="18"/>
              </w:rPr>
            </w:pPr>
            <w:r>
              <w:rPr>
                <w:rStyle w:val="NormalCharacter"/>
                <w:rFonts w:ascii="宋体" w:eastAsia="宋体" w:hAnsi="宋体"/>
                <w:sz w:val="18"/>
                <w:szCs w:val="18"/>
              </w:rPr>
              <w:t>≤7.5</w:t>
            </w:r>
          </w:p>
        </w:tc>
        <w:tc>
          <w:tcPr>
            <w:tcW w:w="2068" w:type="dxa"/>
            <w:tcBorders>
              <w:top w:val="single" w:sz="4" w:space="0" w:color="000000"/>
              <w:left w:val="single" w:sz="4" w:space="0" w:color="000000"/>
              <w:bottom w:val="single" w:sz="4" w:space="0" w:color="000000"/>
              <w:right w:val="single" w:sz="4" w:space="0" w:color="000000"/>
            </w:tcBorders>
            <w:vAlign w:val="center"/>
          </w:tcPr>
          <w:p w:rsidR="00680215" w:rsidRDefault="00715A1A">
            <w:pPr>
              <w:pStyle w:val="UserStyle4"/>
              <w:jc w:val="center"/>
              <w:rPr>
                <w:rStyle w:val="NormalCharacter"/>
                <w:rFonts w:ascii="宋体" w:eastAsia="宋体" w:hAnsi="宋体"/>
                <w:sz w:val="18"/>
                <w:szCs w:val="18"/>
              </w:rPr>
            </w:pPr>
            <w:r>
              <w:rPr>
                <w:rStyle w:val="NormalCharacter"/>
                <w:rFonts w:ascii="宋体" w:hAnsi="宋体"/>
                <w:bCs/>
                <w:sz w:val="18"/>
                <w:szCs w:val="18"/>
              </w:rPr>
              <w:t>GB 5009.36</w:t>
            </w:r>
          </w:p>
        </w:tc>
      </w:tr>
      <w:tr w:rsidR="00680215" w:rsidTr="006B063A">
        <w:trPr>
          <w:trHeight w:val="340"/>
          <w:jc w:val="center"/>
        </w:trPr>
        <w:tc>
          <w:tcPr>
            <w:tcW w:w="9417" w:type="dxa"/>
            <w:gridSpan w:val="3"/>
            <w:tcBorders>
              <w:top w:val="single" w:sz="4" w:space="0" w:color="000000"/>
              <w:left w:val="single" w:sz="4" w:space="0" w:color="000000"/>
              <w:bottom w:val="single" w:sz="4" w:space="0" w:color="000000"/>
              <w:right w:val="single" w:sz="4" w:space="0" w:color="000000"/>
            </w:tcBorders>
            <w:vAlign w:val="center"/>
          </w:tcPr>
          <w:p w:rsidR="00680215" w:rsidRDefault="00715A1A" w:rsidP="004A18FA">
            <w:pPr>
              <w:spacing w:line="360" w:lineRule="exact"/>
              <w:ind w:firstLineChars="50" w:firstLine="90"/>
              <w:jc w:val="left"/>
              <w:rPr>
                <w:rStyle w:val="NormalCharacter"/>
                <w:rFonts w:ascii="宋体" w:hAnsi="宋体"/>
                <w:sz w:val="18"/>
                <w:szCs w:val="18"/>
              </w:rPr>
            </w:pPr>
            <w:r>
              <w:rPr>
                <w:rStyle w:val="NormalCharacter"/>
                <w:rFonts w:ascii="宋体" w:hAnsi="宋体"/>
                <w:sz w:val="18"/>
                <w:szCs w:val="18"/>
              </w:rPr>
              <w:t>注：</w:t>
            </w:r>
            <w:r>
              <w:rPr>
                <w:rStyle w:val="NormalCharacter"/>
                <w:rFonts w:ascii="宋体" w:hAnsi="宋体"/>
                <w:sz w:val="18"/>
                <w:szCs w:val="18"/>
                <w:vertAlign w:val="superscript"/>
              </w:rPr>
              <w:t>α</w:t>
            </w:r>
            <w:r>
              <w:rPr>
                <w:rStyle w:val="NormalCharacter"/>
                <w:rFonts w:ascii="宋体" w:hAnsi="宋体"/>
                <w:sz w:val="18"/>
                <w:szCs w:val="18"/>
              </w:rPr>
              <w:t>酒精度标签标示值与实测值允许误差为±1.0（20℃）/ % vol；</w:t>
            </w:r>
          </w:p>
          <w:p w:rsidR="00680215" w:rsidRDefault="00715A1A" w:rsidP="004A18FA">
            <w:pPr>
              <w:spacing w:line="360" w:lineRule="exact"/>
              <w:ind w:firstLineChars="250" w:firstLine="450"/>
              <w:jc w:val="left"/>
              <w:rPr>
                <w:rStyle w:val="NormalCharacter"/>
                <w:rFonts w:ascii="宋体" w:hAnsi="宋体"/>
                <w:sz w:val="18"/>
                <w:szCs w:val="18"/>
              </w:rPr>
            </w:pPr>
            <w:r>
              <w:rPr>
                <w:rStyle w:val="NormalCharacter"/>
                <w:rFonts w:ascii="宋体" w:hAnsi="宋体"/>
                <w:sz w:val="18"/>
                <w:szCs w:val="18"/>
                <w:vertAlign w:val="superscript"/>
              </w:rPr>
              <w:t>β</w:t>
            </w:r>
            <w:r>
              <w:rPr>
                <w:rStyle w:val="NormalCharacter"/>
                <w:rFonts w:ascii="宋体" w:hAnsi="宋体"/>
                <w:sz w:val="18"/>
                <w:szCs w:val="18"/>
              </w:rPr>
              <w:t>甲醇、氰化物指标均按100%酒精度折算</w:t>
            </w:r>
          </w:p>
        </w:tc>
      </w:tr>
    </w:tbl>
    <w:p w:rsidR="00680215" w:rsidRDefault="00715A1A">
      <w:pPr>
        <w:pStyle w:val="UserStyle4"/>
        <w:spacing w:before="156" w:after="156"/>
        <w:jc w:val="both"/>
        <w:rPr>
          <w:rStyle w:val="NormalCharacter"/>
          <w:rFonts w:ascii="黑体" w:hAnsi="黑体"/>
          <w:szCs w:val="21"/>
        </w:rPr>
      </w:pPr>
      <w:r>
        <w:rPr>
          <w:rStyle w:val="NormalCharacter"/>
          <w:rFonts w:ascii="黑体" w:hAnsi="黑体"/>
          <w:szCs w:val="21"/>
        </w:rPr>
        <w:t>3.4  净含量</w:t>
      </w:r>
    </w:p>
    <w:p w:rsidR="004A18FA" w:rsidRPr="004D4687" w:rsidRDefault="00715A1A" w:rsidP="004D4687">
      <w:pPr>
        <w:pStyle w:val="UserStyle2"/>
        <w:ind w:firstLine="420"/>
        <w:rPr>
          <w:rStyle w:val="NormalCharacter"/>
          <w:rFonts w:hAnsi="宋体"/>
          <w:bCs/>
          <w:szCs w:val="21"/>
        </w:rPr>
      </w:pPr>
      <w:r>
        <w:rPr>
          <w:rStyle w:val="NormalCharacter"/>
          <w:rFonts w:hAnsi="宋体"/>
          <w:bCs/>
          <w:szCs w:val="21"/>
        </w:rPr>
        <w:t xml:space="preserve"> 应符合《</w:t>
      </w:r>
      <w:r>
        <w:rPr>
          <w:rStyle w:val="NormalCharacter"/>
          <w:rFonts w:hAnsi="宋体"/>
          <w:szCs w:val="21"/>
        </w:rPr>
        <w:t>定量包装商品计量监督管理办法》的规定</w:t>
      </w:r>
      <w:r>
        <w:rPr>
          <w:rStyle w:val="NormalCharacter"/>
          <w:rFonts w:hAnsi="宋体"/>
          <w:bCs/>
          <w:szCs w:val="21"/>
        </w:rPr>
        <w:t>。</w:t>
      </w:r>
      <w:r>
        <w:rPr>
          <w:rStyle w:val="NormalCharacter"/>
          <w:rFonts w:hAnsi="宋体"/>
          <w:szCs w:val="21"/>
        </w:rPr>
        <w:t>按JJF 1070的规定检验</w:t>
      </w:r>
      <w:r>
        <w:rPr>
          <w:rStyle w:val="NormalCharacter"/>
          <w:rFonts w:hAnsi="宋体"/>
          <w:bCs/>
          <w:szCs w:val="21"/>
        </w:rPr>
        <w:t>。</w:t>
      </w:r>
    </w:p>
    <w:p w:rsidR="00680215" w:rsidRDefault="00715A1A">
      <w:pPr>
        <w:spacing w:before="156" w:after="156"/>
        <w:rPr>
          <w:rStyle w:val="NormalCharacter"/>
          <w:rFonts w:ascii="黑体" w:eastAsia="黑体" w:hAnsi="黑体"/>
          <w:szCs w:val="21"/>
        </w:rPr>
      </w:pPr>
      <w:r>
        <w:rPr>
          <w:rStyle w:val="NormalCharacter"/>
          <w:rFonts w:ascii="黑体" w:eastAsia="黑体" w:hAnsi="黑体"/>
          <w:szCs w:val="21"/>
        </w:rPr>
        <w:t>3.5  生产过程卫生要求</w:t>
      </w:r>
    </w:p>
    <w:p w:rsidR="00680215" w:rsidRDefault="00715A1A">
      <w:pPr>
        <w:ind w:firstLineChars="200" w:firstLine="420"/>
        <w:rPr>
          <w:rStyle w:val="NormalCharacter"/>
          <w:rFonts w:ascii="宋体" w:hAnsi="宋体"/>
          <w:szCs w:val="21"/>
        </w:rPr>
      </w:pPr>
      <w:r>
        <w:rPr>
          <w:rStyle w:val="NormalCharacter"/>
          <w:rFonts w:ascii="宋体" w:hAnsi="宋体"/>
          <w:szCs w:val="21"/>
        </w:rPr>
        <w:t>应符合GB 8951和GB 14881的规定。</w:t>
      </w:r>
    </w:p>
    <w:p w:rsidR="00680215" w:rsidRDefault="00715A1A">
      <w:pPr>
        <w:spacing w:before="312" w:after="312"/>
        <w:rPr>
          <w:rStyle w:val="NormalCharacter"/>
          <w:rFonts w:ascii="黑体" w:eastAsia="黑体" w:hAnsi="黑体"/>
          <w:szCs w:val="21"/>
        </w:rPr>
      </w:pPr>
      <w:r>
        <w:rPr>
          <w:rStyle w:val="NormalCharacter"/>
          <w:rFonts w:ascii="黑体" w:eastAsia="黑体" w:hAnsi="黑体"/>
          <w:szCs w:val="21"/>
        </w:rPr>
        <w:lastRenderedPageBreak/>
        <w:t>4   检验规则</w:t>
      </w:r>
    </w:p>
    <w:p w:rsidR="00680215" w:rsidRDefault="00715A1A">
      <w:pPr>
        <w:spacing w:before="156" w:after="156"/>
        <w:rPr>
          <w:rStyle w:val="NormalCharacter"/>
          <w:rFonts w:ascii="黑体" w:eastAsia="黑体" w:hAnsi="黑体"/>
          <w:szCs w:val="21"/>
        </w:rPr>
      </w:pPr>
      <w:r>
        <w:rPr>
          <w:rStyle w:val="NormalCharacter"/>
          <w:rFonts w:ascii="黑体" w:eastAsia="黑体" w:hAnsi="黑体"/>
          <w:szCs w:val="21"/>
        </w:rPr>
        <w:t>4.1  组批</w:t>
      </w:r>
    </w:p>
    <w:p w:rsidR="00680215" w:rsidRDefault="00715A1A">
      <w:pPr>
        <w:ind w:firstLineChars="200" w:firstLine="420"/>
        <w:rPr>
          <w:rStyle w:val="NormalCharacter"/>
          <w:szCs w:val="21"/>
        </w:rPr>
      </w:pPr>
      <w:r>
        <w:rPr>
          <w:rStyle w:val="NormalCharacter"/>
          <w:szCs w:val="21"/>
        </w:rPr>
        <w:t>按同一次投料、同一班次生产包装的产品为一批。</w:t>
      </w:r>
    </w:p>
    <w:p w:rsidR="00680215" w:rsidRDefault="00715A1A">
      <w:pPr>
        <w:spacing w:before="156" w:after="156"/>
        <w:rPr>
          <w:rStyle w:val="NormalCharacter"/>
          <w:rFonts w:ascii="黑体" w:eastAsia="黑体" w:hAnsi="黑体"/>
          <w:szCs w:val="21"/>
        </w:rPr>
      </w:pPr>
      <w:r>
        <w:rPr>
          <w:rStyle w:val="NormalCharacter"/>
          <w:rFonts w:ascii="黑体" w:eastAsia="黑体" w:hAnsi="黑体"/>
          <w:szCs w:val="21"/>
        </w:rPr>
        <w:t>4.2  抽样</w:t>
      </w:r>
    </w:p>
    <w:p w:rsidR="00680215" w:rsidRDefault="00715A1A">
      <w:pPr>
        <w:ind w:firstLineChars="200" w:firstLine="420"/>
        <w:rPr>
          <w:rStyle w:val="NormalCharacter"/>
          <w:rFonts w:ascii="宋体" w:hAnsi="宋体"/>
        </w:rPr>
      </w:pPr>
      <w:r>
        <w:rPr>
          <w:rStyle w:val="NormalCharacter"/>
          <w:rFonts w:ascii="宋体" w:hAnsi="宋体"/>
        </w:rPr>
        <w:t>从每批产品的不同部位随机抽取6瓶，3瓶做感官、理化、卫生指标检验，3瓶留样作备检样品。净含量按JJF 1070的要求进行抽样。</w:t>
      </w:r>
    </w:p>
    <w:p w:rsidR="00680215" w:rsidRDefault="00715A1A">
      <w:pPr>
        <w:spacing w:before="156" w:after="156"/>
        <w:rPr>
          <w:rStyle w:val="NormalCharacter"/>
          <w:rFonts w:ascii="黑体" w:eastAsia="黑体" w:hAnsi="黑体"/>
          <w:szCs w:val="21"/>
        </w:rPr>
      </w:pPr>
      <w:r>
        <w:rPr>
          <w:rStyle w:val="NormalCharacter"/>
          <w:rFonts w:ascii="黑体" w:eastAsia="黑体" w:hAnsi="黑体"/>
          <w:szCs w:val="21"/>
        </w:rPr>
        <w:t>4.3  检验</w:t>
      </w:r>
    </w:p>
    <w:p w:rsidR="00680215" w:rsidRDefault="00715A1A">
      <w:pPr>
        <w:spacing w:before="156" w:after="156"/>
        <w:rPr>
          <w:rStyle w:val="NormalCharacter"/>
          <w:rFonts w:ascii="黑体" w:eastAsia="黑体" w:hAnsi="黑体"/>
          <w:szCs w:val="21"/>
        </w:rPr>
      </w:pPr>
      <w:r>
        <w:rPr>
          <w:rStyle w:val="NormalCharacter"/>
          <w:rFonts w:ascii="黑体" w:eastAsia="黑体" w:hAnsi="黑体"/>
          <w:szCs w:val="21"/>
        </w:rPr>
        <w:t>4.3.1  出厂检验</w:t>
      </w:r>
    </w:p>
    <w:p w:rsidR="00680215" w:rsidRDefault="00715A1A">
      <w:pPr>
        <w:ind w:firstLineChars="200" w:firstLine="420"/>
        <w:rPr>
          <w:rStyle w:val="NormalCharacter"/>
          <w:szCs w:val="21"/>
        </w:rPr>
      </w:pPr>
      <w:r>
        <w:rPr>
          <w:rStyle w:val="NormalCharacter"/>
          <w:szCs w:val="21"/>
        </w:rPr>
        <w:t>产品出厂前必须经厂检验部门逐批检验合格，并签发合格证方可出厂。出厂检验项目为：感官要求、酒精度、</w:t>
      </w:r>
      <w:r w:rsidR="004D4687">
        <w:rPr>
          <w:rStyle w:val="NormalCharacter"/>
          <w:szCs w:val="21"/>
        </w:rPr>
        <w:t>总酸</w:t>
      </w:r>
      <w:r w:rsidR="004D4687">
        <w:rPr>
          <w:rStyle w:val="NormalCharacter"/>
          <w:rFonts w:hint="eastAsia"/>
          <w:szCs w:val="21"/>
        </w:rPr>
        <w:t>、</w:t>
      </w:r>
      <w:r w:rsidR="004D4687">
        <w:rPr>
          <w:rStyle w:val="NormalCharacter"/>
          <w:szCs w:val="21"/>
        </w:rPr>
        <w:t>总脂</w:t>
      </w:r>
      <w:r w:rsidR="004D4687">
        <w:rPr>
          <w:rStyle w:val="NormalCharacter"/>
          <w:rFonts w:hint="eastAsia"/>
          <w:szCs w:val="21"/>
        </w:rPr>
        <w:t>、</w:t>
      </w:r>
      <w:r>
        <w:rPr>
          <w:rStyle w:val="NormalCharacter"/>
          <w:rFonts w:ascii="宋体"/>
          <w:szCs w:val="21"/>
        </w:rPr>
        <w:t>甲醇、</w:t>
      </w:r>
      <w:r w:rsidR="004D4687">
        <w:rPr>
          <w:rStyle w:val="NormalCharacter"/>
          <w:rFonts w:ascii="宋体" w:hint="eastAsia"/>
          <w:szCs w:val="21"/>
        </w:rPr>
        <w:t>pH、</w:t>
      </w:r>
      <w:r>
        <w:rPr>
          <w:rStyle w:val="NormalCharacter"/>
          <w:szCs w:val="21"/>
        </w:rPr>
        <w:t>净含量指标。</w:t>
      </w:r>
    </w:p>
    <w:p w:rsidR="00680215" w:rsidRDefault="00715A1A">
      <w:pPr>
        <w:spacing w:before="156" w:after="156"/>
        <w:rPr>
          <w:rStyle w:val="NormalCharacter"/>
          <w:rFonts w:ascii="黑体" w:eastAsia="黑体" w:hAnsi="黑体"/>
          <w:szCs w:val="21"/>
        </w:rPr>
      </w:pPr>
      <w:r>
        <w:rPr>
          <w:rStyle w:val="NormalCharacter"/>
          <w:rFonts w:ascii="黑体" w:eastAsia="黑体" w:hAnsi="黑体"/>
          <w:szCs w:val="21"/>
        </w:rPr>
        <w:t>4.3.2  型式检验</w:t>
      </w:r>
    </w:p>
    <w:p w:rsidR="00680215" w:rsidRDefault="00715A1A">
      <w:pPr>
        <w:ind w:firstLineChars="200" w:firstLine="420"/>
        <w:rPr>
          <w:rStyle w:val="NormalCharacter"/>
          <w:rFonts w:ascii="宋体" w:hAnsi="宋体"/>
          <w:szCs w:val="21"/>
        </w:rPr>
      </w:pPr>
      <w:r>
        <w:rPr>
          <w:rStyle w:val="NormalCharacter"/>
          <w:rFonts w:ascii="宋体" w:hAnsi="宋体"/>
          <w:szCs w:val="21"/>
        </w:rPr>
        <w:t>型式检验为本文件中3.2～3.4项中规定的项目，每半年进行一次，有下情况之一时亦应进行型式检验：</w:t>
      </w:r>
    </w:p>
    <w:p w:rsidR="00680215" w:rsidRDefault="00715A1A">
      <w:pPr>
        <w:ind w:firstLineChars="200" w:firstLine="420"/>
        <w:rPr>
          <w:rStyle w:val="NormalCharacter"/>
          <w:rFonts w:ascii="宋体" w:hAnsi="宋体"/>
          <w:szCs w:val="21"/>
        </w:rPr>
      </w:pPr>
      <w:r>
        <w:rPr>
          <w:rStyle w:val="NormalCharacter"/>
          <w:rFonts w:ascii="宋体" w:hAnsi="宋体"/>
          <w:szCs w:val="21"/>
        </w:rPr>
        <w:t>a、</w:t>
      </w:r>
      <w:r>
        <w:rPr>
          <w:rStyle w:val="NormalCharacter"/>
          <w:rFonts w:ascii="宋体" w:hAnsi="宋体" w:cs="宋体"/>
          <w:bCs/>
          <w:szCs w:val="21"/>
        </w:rPr>
        <w:t>原料产地或生产工艺设备有较大改变，可能影响产品质量时；</w:t>
      </w:r>
      <w:r>
        <w:rPr>
          <w:rStyle w:val="NormalCharacter"/>
          <w:rFonts w:ascii="宋体" w:hAnsi="宋体"/>
          <w:szCs w:val="21"/>
        </w:rPr>
        <w:t xml:space="preserve"> </w:t>
      </w:r>
    </w:p>
    <w:p w:rsidR="00680215" w:rsidRDefault="00715A1A">
      <w:pPr>
        <w:ind w:firstLineChars="200" w:firstLine="420"/>
        <w:rPr>
          <w:rStyle w:val="NormalCharacter"/>
          <w:rFonts w:ascii="宋体" w:hAnsi="宋体"/>
          <w:szCs w:val="21"/>
        </w:rPr>
      </w:pPr>
      <w:r>
        <w:rPr>
          <w:rStyle w:val="NormalCharacter"/>
          <w:rFonts w:ascii="宋体" w:hAnsi="宋体"/>
          <w:szCs w:val="21"/>
        </w:rPr>
        <w:t>b、连续停产三月以上恢复生产时；</w:t>
      </w:r>
    </w:p>
    <w:p w:rsidR="00680215" w:rsidRDefault="00715A1A">
      <w:pPr>
        <w:ind w:firstLineChars="200" w:firstLine="420"/>
        <w:rPr>
          <w:rStyle w:val="NormalCharacter"/>
          <w:rFonts w:ascii="宋体" w:hAnsi="宋体"/>
          <w:szCs w:val="21"/>
        </w:rPr>
      </w:pPr>
      <w:r>
        <w:rPr>
          <w:rStyle w:val="NormalCharacter"/>
          <w:rFonts w:ascii="宋体" w:hAnsi="宋体"/>
          <w:szCs w:val="21"/>
        </w:rPr>
        <w:t>c、出厂检验结果与上次型式检验结果有较大差异时;</w:t>
      </w:r>
    </w:p>
    <w:p w:rsidR="00680215" w:rsidRDefault="00715A1A">
      <w:pPr>
        <w:ind w:firstLineChars="200" w:firstLine="420"/>
        <w:rPr>
          <w:rStyle w:val="NormalCharacter"/>
          <w:rFonts w:ascii="宋体" w:hAnsi="宋体"/>
          <w:szCs w:val="21"/>
        </w:rPr>
      </w:pPr>
      <w:r>
        <w:rPr>
          <w:rStyle w:val="NormalCharacter"/>
          <w:rFonts w:ascii="宋体" w:hAnsi="宋体"/>
          <w:szCs w:val="21"/>
        </w:rPr>
        <w:t>d、</w:t>
      </w:r>
      <w:r>
        <w:rPr>
          <w:rStyle w:val="NormalCharacter"/>
          <w:rFonts w:ascii="宋体" w:hAnsi="宋体"/>
          <w:color w:val="000000"/>
          <w:szCs w:val="21"/>
        </w:rPr>
        <w:t>国家市场监督管理部门</w:t>
      </w:r>
      <w:r>
        <w:rPr>
          <w:rStyle w:val="NormalCharacter"/>
          <w:rFonts w:ascii="宋体" w:hAnsi="宋体"/>
          <w:szCs w:val="21"/>
        </w:rPr>
        <w:t>提出型式检验要求时。</w:t>
      </w:r>
    </w:p>
    <w:p w:rsidR="00680215" w:rsidRDefault="00715A1A">
      <w:pPr>
        <w:spacing w:before="156" w:after="156"/>
        <w:rPr>
          <w:rStyle w:val="NormalCharacter"/>
          <w:rFonts w:ascii="黑体" w:eastAsia="黑体" w:hAnsi="黑体"/>
          <w:szCs w:val="21"/>
        </w:rPr>
      </w:pPr>
      <w:r>
        <w:rPr>
          <w:rStyle w:val="NormalCharacter"/>
          <w:rFonts w:ascii="黑体" w:eastAsia="黑体" w:hAnsi="黑体"/>
          <w:szCs w:val="21"/>
        </w:rPr>
        <w:t>4.4  判定规则</w:t>
      </w:r>
    </w:p>
    <w:p w:rsidR="00680215" w:rsidRDefault="00715A1A">
      <w:pPr>
        <w:spacing w:before="156" w:after="156"/>
        <w:rPr>
          <w:rStyle w:val="NormalCharacter"/>
          <w:rFonts w:ascii="黑体" w:eastAsia="黑体" w:hAnsi="黑体"/>
          <w:szCs w:val="21"/>
        </w:rPr>
      </w:pPr>
      <w:r>
        <w:rPr>
          <w:rStyle w:val="NormalCharacter"/>
          <w:rFonts w:ascii="黑体" w:eastAsia="黑体" w:hAnsi="黑体"/>
          <w:szCs w:val="21"/>
        </w:rPr>
        <w:t>4.4.1  出厂检验判定规则</w:t>
      </w:r>
    </w:p>
    <w:p w:rsidR="00680215" w:rsidRDefault="00715A1A">
      <w:pPr>
        <w:ind w:firstLineChars="200" w:firstLine="420"/>
        <w:rPr>
          <w:rStyle w:val="NormalCharacter"/>
          <w:szCs w:val="21"/>
        </w:rPr>
      </w:pPr>
      <w:r>
        <w:rPr>
          <w:rStyle w:val="NormalCharacter"/>
          <w:szCs w:val="21"/>
        </w:rPr>
        <w:t>出厂检验项目全部符合本文件，判为合格品。出厂检验项目不符合本文件时，应对留存的同批备检样品进行不合格项目的复验，判定结果以复验结果为准。</w:t>
      </w:r>
    </w:p>
    <w:p w:rsidR="00680215" w:rsidRDefault="00715A1A">
      <w:pPr>
        <w:spacing w:before="156" w:after="156"/>
        <w:rPr>
          <w:rStyle w:val="NormalCharacter"/>
          <w:rFonts w:ascii="黑体" w:eastAsia="黑体" w:hAnsi="黑体"/>
          <w:szCs w:val="21"/>
        </w:rPr>
      </w:pPr>
      <w:r>
        <w:rPr>
          <w:rStyle w:val="NormalCharacter"/>
          <w:rFonts w:ascii="黑体" w:eastAsia="黑体" w:hAnsi="黑体"/>
          <w:szCs w:val="21"/>
        </w:rPr>
        <w:t>4.4.2  型式检验判定规则</w:t>
      </w:r>
    </w:p>
    <w:p w:rsidR="00680215" w:rsidRDefault="00715A1A">
      <w:pPr>
        <w:ind w:firstLineChars="200" w:firstLine="420"/>
        <w:rPr>
          <w:rStyle w:val="NormalCharacter"/>
          <w:szCs w:val="21"/>
        </w:rPr>
      </w:pPr>
      <w:r>
        <w:rPr>
          <w:rStyle w:val="NormalCharacter"/>
          <w:szCs w:val="21"/>
        </w:rPr>
        <w:t>型式检验项目均符合本文件规定时，判定该批产品合格，当型式检验出现不符合本文件规定的项目时，应从同批产品中双倍抽样对不合格项进行复验，判定结果以复验结果为准。</w:t>
      </w:r>
    </w:p>
    <w:p w:rsidR="00680215" w:rsidRDefault="00715A1A">
      <w:pPr>
        <w:spacing w:before="312" w:after="312"/>
        <w:rPr>
          <w:rStyle w:val="NormalCharacter"/>
          <w:rFonts w:ascii="黑体" w:eastAsia="黑体" w:hAnsi="黑体"/>
          <w:bCs/>
          <w:szCs w:val="21"/>
        </w:rPr>
      </w:pPr>
      <w:r>
        <w:rPr>
          <w:rStyle w:val="NormalCharacter"/>
          <w:rFonts w:ascii="黑体" w:eastAsia="黑体" w:hAnsi="黑体"/>
          <w:bCs/>
          <w:szCs w:val="21"/>
        </w:rPr>
        <w:t>5  标志、标签、包装、运输、贮存</w:t>
      </w:r>
    </w:p>
    <w:p w:rsidR="00680215" w:rsidRDefault="00715A1A">
      <w:pPr>
        <w:spacing w:before="156" w:after="156"/>
        <w:rPr>
          <w:rStyle w:val="NormalCharacter"/>
          <w:rFonts w:ascii="黑体" w:eastAsia="黑体" w:hAnsi="黑体"/>
          <w:szCs w:val="21"/>
        </w:rPr>
      </w:pPr>
      <w:r>
        <w:rPr>
          <w:rStyle w:val="NormalCharacter"/>
          <w:rFonts w:ascii="黑体" w:eastAsia="黑体" w:hAnsi="黑体"/>
          <w:szCs w:val="21"/>
        </w:rPr>
        <w:t>5.1  标志、标签</w:t>
      </w:r>
    </w:p>
    <w:p w:rsidR="004D4687" w:rsidRDefault="00715A1A">
      <w:pPr>
        <w:snapToGrid w:val="0"/>
        <w:rPr>
          <w:rStyle w:val="NormalCharacter"/>
          <w:rFonts w:ascii="宋体" w:hAnsi="宋体"/>
          <w:szCs w:val="21"/>
        </w:rPr>
      </w:pPr>
      <w:r>
        <w:rPr>
          <w:rStyle w:val="NormalCharacter"/>
          <w:rFonts w:ascii="宋体" w:hAnsi="宋体"/>
          <w:szCs w:val="21"/>
        </w:rPr>
        <w:t xml:space="preserve">    产品包装应有明显标志，产品包装运输图示应符合GB/T 191的规定。食品标签应符合GB 7718和GB 2757 第四章的规定。</w:t>
      </w:r>
    </w:p>
    <w:p w:rsidR="00680215" w:rsidRDefault="00715A1A">
      <w:pPr>
        <w:spacing w:before="156" w:after="156"/>
        <w:rPr>
          <w:rStyle w:val="NormalCharacter"/>
          <w:rFonts w:ascii="黑体" w:eastAsia="黑体" w:hAnsi="黑体"/>
          <w:szCs w:val="21"/>
        </w:rPr>
      </w:pPr>
      <w:r>
        <w:rPr>
          <w:rStyle w:val="NormalCharacter"/>
          <w:rFonts w:ascii="黑体" w:eastAsia="黑体" w:hAnsi="黑体"/>
          <w:szCs w:val="21"/>
        </w:rPr>
        <w:t>5.2  包装</w:t>
      </w:r>
    </w:p>
    <w:p w:rsidR="00680215" w:rsidRDefault="00715A1A">
      <w:pPr>
        <w:ind w:firstLineChars="200" w:firstLine="420"/>
        <w:rPr>
          <w:rStyle w:val="NormalCharacter"/>
          <w:rFonts w:ascii="宋体" w:hAnsi="宋体"/>
          <w:szCs w:val="21"/>
        </w:rPr>
      </w:pPr>
      <w:r>
        <w:rPr>
          <w:rStyle w:val="NormalCharacter"/>
          <w:rFonts w:ascii="宋体" w:hAnsi="宋体"/>
          <w:szCs w:val="21"/>
        </w:rPr>
        <w:t>本产品采用玻璃瓶或陶瓷瓶装，玻璃瓶应符合GB 4806.5的规定，陶瓷瓶应符合GB 4806.4的规定，外包装采用瓦楞纸专用包装箱，瓦楞纸箱应符合GB/T 6543的规定。包装箱内应有间隔和衬垫，箱体上应注明小心轻放、请勿倒置等标识。所用包装材料应符合有关食品安全卫生要求。</w:t>
      </w:r>
    </w:p>
    <w:p w:rsidR="004D4687" w:rsidRDefault="004D4687">
      <w:pPr>
        <w:spacing w:before="156" w:after="156"/>
        <w:rPr>
          <w:rStyle w:val="NormalCharacter"/>
          <w:rFonts w:ascii="黑体" w:eastAsia="黑体" w:hAnsi="黑体"/>
          <w:szCs w:val="21"/>
        </w:rPr>
      </w:pPr>
    </w:p>
    <w:p w:rsidR="00680215" w:rsidRDefault="00715A1A">
      <w:pPr>
        <w:spacing w:before="156" w:after="156"/>
        <w:rPr>
          <w:rStyle w:val="NormalCharacter"/>
          <w:rFonts w:ascii="黑体" w:eastAsia="黑体" w:hAnsi="黑体"/>
          <w:szCs w:val="21"/>
        </w:rPr>
      </w:pPr>
      <w:r>
        <w:rPr>
          <w:rStyle w:val="NormalCharacter"/>
          <w:rFonts w:ascii="黑体" w:eastAsia="黑体" w:hAnsi="黑体"/>
          <w:szCs w:val="21"/>
        </w:rPr>
        <w:lastRenderedPageBreak/>
        <w:t>5.3  运输</w:t>
      </w:r>
    </w:p>
    <w:p w:rsidR="00680215" w:rsidRDefault="00715A1A">
      <w:pPr>
        <w:ind w:firstLineChars="200" w:firstLine="420"/>
        <w:rPr>
          <w:rStyle w:val="NormalCharacter"/>
          <w:szCs w:val="21"/>
        </w:rPr>
      </w:pPr>
      <w:r>
        <w:rPr>
          <w:rStyle w:val="NormalCharacter"/>
          <w:szCs w:val="21"/>
        </w:rPr>
        <w:t>运输工具必须清洁、卫生。产品不得与有毒、有害、有腐蚀性、易挥发或有异味的物品混装混运。运输过程中不得曝晒、雨淋、受潮。搬运时应轻拿轻放，严禁野蛮装卸、撞击、挤压。</w:t>
      </w:r>
    </w:p>
    <w:p w:rsidR="00680215" w:rsidRDefault="00715A1A">
      <w:pPr>
        <w:spacing w:before="156" w:after="156"/>
        <w:rPr>
          <w:rStyle w:val="NormalCharacter"/>
          <w:rFonts w:ascii="黑体" w:eastAsia="黑体" w:hAnsi="黑体"/>
          <w:szCs w:val="21"/>
        </w:rPr>
      </w:pPr>
      <w:r>
        <w:rPr>
          <w:rStyle w:val="NormalCharacter"/>
          <w:rFonts w:ascii="黑体" w:eastAsia="黑体" w:hAnsi="黑体"/>
          <w:szCs w:val="21"/>
        </w:rPr>
        <w:t>5.4  贮存</w:t>
      </w:r>
    </w:p>
    <w:p w:rsidR="00680215" w:rsidRDefault="00715A1A">
      <w:pPr>
        <w:ind w:firstLineChars="200" w:firstLine="420"/>
        <w:rPr>
          <w:rStyle w:val="NormalCharacter"/>
          <w:szCs w:val="21"/>
        </w:rPr>
      </w:pPr>
      <w:r>
        <w:rPr>
          <w:rStyle w:val="NormalCharacter"/>
          <w:szCs w:val="21"/>
        </w:rPr>
        <w:t>产品应贮存在阴凉、干燥、通风的库房中；严禁露天堆放、日晒、雨淋或靠近热源；包装箱底部应有垫有材料，离墙离地保存，产品不得与有毒、有害、有腐蚀性或有异味的物品同库储存。</w:t>
      </w:r>
    </w:p>
    <w:p w:rsidR="00680215" w:rsidRDefault="00821D23">
      <w:pPr>
        <w:spacing w:line="240" w:lineRule="exact"/>
        <w:ind w:firstLineChars="200" w:firstLine="420"/>
        <w:rPr>
          <w:rStyle w:val="NormalCharacter"/>
          <w:szCs w:val="21"/>
        </w:rPr>
      </w:pPr>
      <w:r w:rsidRPr="00821D23">
        <w:pict>
          <v:line id="_x0000_s1029" style="position:absolute;left:0;text-align:left;flip:y;z-index:251659264" from="170.55pt,30.5pt" to="287.55pt,30.5pt" strokeweight="1pt"/>
        </w:pict>
      </w:r>
    </w:p>
    <w:sectPr w:rsidR="00680215" w:rsidSect="006B063A">
      <w:headerReference w:type="default" r:id="rId7"/>
      <w:footerReference w:type="even" r:id="rId8"/>
      <w:footerReference w:type="default" r:id="rId9"/>
      <w:pgSz w:w="11906" w:h="16838"/>
      <w:pgMar w:top="1418" w:right="1418" w:bottom="1418" w:left="1418" w:header="1134" w:footer="1134"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2B97" w:rsidRDefault="00EB2B97" w:rsidP="00680215">
      <w:r>
        <w:separator/>
      </w:r>
    </w:p>
  </w:endnote>
  <w:endnote w:type="continuationSeparator" w:id="1">
    <w:p w:rsidR="00EB2B97" w:rsidRDefault="00EB2B97" w:rsidP="0068021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F96" w:rsidRDefault="00A63F96">
    <w:pPr>
      <w:pStyle w:val="Footer"/>
      <w:framePr w:wrap="around" w:hAnchor="text" w:xAlign="right"/>
      <w:rPr>
        <w:rStyle w:val="PageNumber"/>
      </w:rPr>
    </w:pPr>
  </w:p>
  <w:p w:rsidR="00A63F96" w:rsidRDefault="00A63F96">
    <w:pPr>
      <w:pStyle w:val="Footer"/>
      <w:ind w:right="360"/>
      <w:rPr>
        <w:rStyle w:val="NormalCharacter"/>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F96" w:rsidRDefault="00A63F96">
    <w:pPr>
      <w:pStyle w:val="Footer"/>
      <w:framePr w:wrap="around" w:hAnchor="text" w:xAlign="right"/>
      <w:rPr>
        <w:rStyle w:val="PageNumber"/>
      </w:rPr>
    </w:pPr>
  </w:p>
  <w:p w:rsidR="00A63F96" w:rsidRDefault="00A63F96">
    <w:pPr>
      <w:pStyle w:val="Footer"/>
      <w:ind w:right="360"/>
      <w:rPr>
        <w:rStyle w:val="NormalCharacter"/>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2B97" w:rsidRDefault="00EB2B97" w:rsidP="00680215">
      <w:r>
        <w:separator/>
      </w:r>
    </w:p>
  </w:footnote>
  <w:footnote w:type="continuationSeparator" w:id="1">
    <w:p w:rsidR="00EB2B97" w:rsidRDefault="00EB2B97" w:rsidP="0068021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F96" w:rsidRDefault="00A63F96">
    <w:pPr>
      <w:spacing w:after="120"/>
      <w:jc w:val="right"/>
      <w:rPr>
        <w:rStyle w:val="NormalCharacter"/>
        <w:rFonts w:ascii="黑体" w:eastAsia="黑体" w:hAnsi="黑体"/>
        <w:szCs w:val="21"/>
      </w:rPr>
    </w:pPr>
    <w:r>
      <w:rPr>
        <w:rStyle w:val="NormalCharacter"/>
        <w:rFonts w:ascii="黑体" w:eastAsia="黑体" w:hAnsi="黑体"/>
        <w:szCs w:val="21"/>
      </w:rPr>
      <w:t>Q/QHYY 0001S-2021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8"/>
    <w:multiLevelType w:val="multilevel"/>
    <w:tmpl w:val="00000018"/>
    <w:lvl w:ilvl="0">
      <w:start w:val="1"/>
      <w:numFmt w:val="decimal"/>
      <w:suff w:val="nothing"/>
      <w:lvlText w:val="%1"/>
      <w:lvlJc w:val="left"/>
      <w:pPr>
        <w:widowControl/>
        <w:ind w:left="0" w:firstLine="0"/>
        <w:textAlignment w:val="baseline"/>
      </w:pPr>
      <w:rPr>
        <w:rFonts w:ascii="Times New Roman" w:hAnsi="Times New Roman"/>
        <w:b/>
        <w:i w:val="0"/>
        <w:sz w:val="21"/>
      </w:rPr>
    </w:lvl>
    <w:lvl w:ilvl="1">
      <w:start w:val="1"/>
      <w:numFmt w:val="decimal"/>
      <w:suff w:val="nothing"/>
      <w:lvlText w:val="%1%2　"/>
      <w:lvlJc w:val="left"/>
      <w:pPr>
        <w:widowControl/>
        <w:ind w:left="105" w:firstLine="0"/>
        <w:textAlignment w:val="baseline"/>
      </w:pPr>
      <w:rPr>
        <w:rFonts w:ascii="黑体" w:eastAsia="黑体" w:hAnsi="Times New Roman"/>
        <w:b w:val="0"/>
        <w:i w:val="0"/>
        <w:sz w:val="21"/>
      </w:rPr>
    </w:lvl>
    <w:lvl w:ilvl="2">
      <w:start w:val="1"/>
      <w:numFmt w:val="decimal"/>
      <w:suff w:val="nothing"/>
      <w:lvlText w:val="%1%2.%3　"/>
      <w:lvlJc w:val="left"/>
      <w:pPr>
        <w:widowControl/>
        <w:ind w:left="0" w:firstLine="0"/>
        <w:textAlignment w:val="baseline"/>
      </w:pPr>
      <w:rPr>
        <w:rFonts w:ascii="宋体" w:eastAsia="宋体" w:hAnsi="宋体"/>
        <w:b w:val="0"/>
        <w:i w:val="0"/>
        <w:sz w:val="21"/>
      </w:rPr>
    </w:lvl>
    <w:lvl w:ilvl="3">
      <w:start w:val="1"/>
      <w:numFmt w:val="decimal"/>
      <w:suff w:val="nothing"/>
      <w:lvlText w:val="%1%2.%3.%4　"/>
      <w:lvlJc w:val="left"/>
      <w:pPr>
        <w:widowControl/>
        <w:ind w:left="1985" w:firstLine="0"/>
        <w:textAlignment w:val="baseline"/>
      </w:pPr>
      <w:rPr>
        <w:rFonts w:ascii="黑体" w:eastAsia="黑体" w:hAnsi="Times New Roman"/>
        <w:b w:val="0"/>
        <w:i w:val="0"/>
        <w:sz w:val="21"/>
      </w:rPr>
    </w:lvl>
    <w:lvl w:ilvl="4">
      <w:start w:val="1"/>
      <w:numFmt w:val="decimal"/>
      <w:suff w:val="nothing"/>
      <w:lvlText w:val="%1%2.%3.%4.%5　"/>
      <w:lvlJc w:val="left"/>
      <w:pPr>
        <w:widowControl/>
        <w:ind w:left="0" w:firstLine="0"/>
        <w:textAlignment w:val="baseline"/>
      </w:pPr>
      <w:rPr>
        <w:rFonts w:ascii="黑体" w:eastAsia="黑体" w:hAnsi="Times New Roman"/>
        <w:b w:val="0"/>
        <w:i w:val="0"/>
        <w:sz w:val="21"/>
      </w:rPr>
    </w:lvl>
    <w:lvl w:ilvl="5">
      <w:start w:val="1"/>
      <w:numFmt w:val="decimal"/>
      <w:suff w:val="nothing"/>
      <w:lvlText w:val="%1%2.%3.%4.%5.%6　"/>
      <w:lvlJc w:val="left"/>
      <w:pPr>
        <w:widowControl/>
        <w:ind w:left="0" w:firstLine="0"/>
        <w:textAlignment w:val="baseline"/>
      </w:pPr>
      <w:rPr>
        <w:rFonts w:ascii="黑体" w:eastAsia="黑体" w:hAnsi="Times New Roman"/>
        <w:b w:val="0"/>
        <w:i w:val="0"/>
        <w:sz w:val="21"/>
      </w:rPr>
    </w:lvl>
    <w:lvl w:ilvl="6">
      <w:start w:val="1"/>
      <w:numFmt w:val="decimal"/>
      <w:suff w:val="nothing"/>
      <w:lvlText w:val="%1%2.%3.%4.%5.%6.%7　"/>
      <w:lvlJc w:val="left"/>
      <w:pPr>
        <w:widowControl/>
        <w:ind w:left="0" w:firstLine="0"/>
        <w:textAlignment w:val="baseline"/>
      </w:pPr>
      <w:rPr>
        <w:rFonts w:ascii="黑体" w:eastAsia="黑体" w:hAnsi="Times New Roman"/>
        <w:b w:val="0"/>
        <w:i w:val="0"/>
        <w:sz w:val="21"/>
      </w:rPr>
    </w:lvl>
    <w:lvl w:ilvl="7">
      <w:start w:val="1"/>
      <w:numFmt w:val="decimal"/>
      <w:lvlText w:val="%1.%2.%3.%4.%5.%6.%7.%8"/>
      <w:lvlJc w:val="left"/>
      <w:pPr>
        <w:widowControl/>
        <w:ind w:left="3969" w:hanging="1418"/>
        <w:textAlignment w:val="baseline"/>
      </w:pPr>
    </w:lvl>
    <w:lvl w:ilvl="8">
      <w:start w:val="1"/>
      <w:numFmt w:val="decimal"/>
      <w:lvlText w:val="%1.%2.%3.%4.%5.%6.%7.%8.%9"/>
      <w:lvlJc w:val="left"/>
      <w:pPr>
        <w:widowControl/>
        <w:ind w:left="4677" w:hanging="1700"/>
        <w:textAlignment w:val="baseline"/>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isplayHorizontalDrawingGridEvery w:val="0"/>
  <w:displayVerticalDrawingGridEvery w:val="2"/>
  <w:doNotUseMarginsForDrawingGridOrigin/>
  <w:noPunctuationKerning/>
  <w:characterSpacingControl w:val="doNotCompress"/>
  <w:hdrShapeDefaults>
    <o:shapedefaults v:ext="edit" spidmax="17410"/>
  </w:hdrShapeDefaults>
  <w:footnotePr>
    <w:footnote w:id="0"/>
    <w:footnote w:id="1"/>
  </w:footnotePr>
  <w:endnotePr>
    <w:endnote w:id="0"/>
    <w:endnote w:id="1"/>
  </w:endnotePr>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
  <w:rsids>
    <w:rsidRoot w:val="00680215"/>
    <w:rsid w:val="00007147"/>
    <w:rsid w:val="00053E2F"/>
    <w:rsid w:val="001D6130"/>
    <w:rsid w:val="00484C13"/>
    <w:rsid w:val="004A18FA"/>
    <w:rsid w:val="004D4687"/>
    <w:rsid w:val="00512F86"/>
    <w:rsid w:val="00680215"/>
    <w:rsid w:val="006B063A"/>
    <w:rsid w:val="00715A1A"/>
    <w:rsid w:val="007201C3"/>
    <w:rsid w:val="00821D23"/>
    <w:rsid w:val="00892994"/>
    <w:rsid w:val="00895214"/>
    <w:rsid w:val="00A07BD5"/>
    <w:rsid w:val="00A24741"/>
    <w:rsid w:val="00A63F96"/>
    <w:rsid w:val="00B06DD6"/>
    <w:rsid w:val="00BA65BA"/>
    <w:rsid w:val="00C960FE"/>
    <w:rsid w:val="00D371D6"/>
    <w:rsid w:val="00D637A1"/>
    <w:rsid w:val="00DF2462"/>
    <w:rsid w:val="00EB2B97"/>
    <w:rsid w:val="00EB414E"/>
    <w:rsid w:val="00F551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680215"/>
    <w:pPr>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NormalCharacter">
    <w:name w:val="NormalCharacter"/>
    <w:semiHidden/>
    <w:rsid w:val="00680215"/>
  </w:style>
  <w:style w:type="table" w:customStyle="1" w:styleId="TableNormal">
    <w:name w:val="TableNormal"/>
    <w:semiHidden/>
    <w:rsid w:val="00680215"/>
    <w:tblPr>
      <w:tblCellMar>
        <w:top w:w="0" w:type="dxa"/>
        <w:left w:w="0" w:type="dxa"/>
        <w:bottom w:w="0" w:type="dxa"/>
        <w:right w:w="0" w:type="dxa"/>
      </w:tblCellMar>
    </w:tblPr>
  </w:style>
  <w:style w:type="numbering" w:customStyle="1" w:styleId="NormalList">
    <w:name w:val="NormalList"/>
    <w:semiHidden/>
    <w:rsid w:val="00680215"/>
  </w:style>
  <w:style w:type="paragraph" w:customStyle="1" w:styleId="BodyText">
    <w:name w:val="BodyText"/>
    <w:basedOn w:val="a"/>
    <w:rsid w:val="00680215"/>
    <w:rPr>
      <w:b/>
      <w:bCs/>
      <w:sz w:val="44"/>
    </w:rPr>
  </w:style>
  <w:style w:type="paragraph" w:customStyle="1" w:styleId="BodyTextIndent">
    <w:name w:val="BodyTextIndent"/>
    <w:basedOn w:val="a"/>
    <w:link w:val="UserStyle0"/>
    <w:rsid w:val="00680215"/>
    <w:pPr>
      <w:ind w:firstLineChars="151" w:firstLine="284"/>
    </w:pPr>
    <w:rPr>
      <w:rFonts w:ascii="宋体" w:hAnsi="宋体"/>
    </w:rPr>
  </w:style>
  <w:style w:type="character" w:customStyle="1" w:styleId="UserStyle0">
    <w:name w:val="UserStyle_0"/>
    <w:basedOn w:val="NormalCharacter"/>
    <w:link w:val="BodyTextIndent"/>
    <w:rsid w:val="00680215"/>
    <w:rPr>
      <w:kern w:val="2"/>
      <w:sz w:val="21"/>
      <w:szCs w:val="24"/>
    </w:rPr>
  </w:style>
  <w:style w:type="paragraph" w:customStyle="1" w:styleId="Footer">
    <w:name w:val="Footer"/>
    <w:basedOn w:val="a"/>
    <w:rsid w:val="00680215"/>
    <w:pPr>
      <w:tabs>
        <w:tab w:val="center" w:pos="4153"/>
        <w:tab w:val="right" w:pos="8306"/>
      </w:tabs>
      <w:snapToGrid w:val="0"/>
      <w:jc w:val="left"/>
    </w:pPr>
    <w:rPr>
      <w:sz w:val="18"/>
      <w:szCs w:val="18"/>
    </w:rPr>
  </w:style>
  <w:style w:type="paragraph" w:customStyle="1" w:styleId="Header">
    <w:name w:val="Header"/>
    <w:basedOn w:val="a"/>
    <w:rsid w:val="00680215"/>
    <w:pPr>
      <w:pBdr>
        <w:bottom w:val="single" w:sz="6" w:space="1" w:color="000000"/>
      </w:pBdr>
      <w:tabs>
        <w:tab w:val="center" w:pos="4153"/>
        <w:tab w:val="right" w:pos="8306"/>
      </w:tabs>
      <w:snapToGrid w:val="0"/>
      <w:jc w:val="center"/>
    </w:pPr>
    <w:rPr>
      <w:sz w:val="18"/>
      <w:szCs w:val="18"/>
    </w:rPr>
  </w:style>
  <w:style w:type="table" w:customStyle="1" w:styleId="TableGrid">
    <w:name w:val="TableGrid"/>
    <w:basedOn w:val="TableNormal"/>
    <w:rsid w:val="00680215"/>
    <w:tblPr>
      <w:tblCellMar>
        <w:top w:w="0" w:type="dxa"/>
        <w:left w:w="0" w:type="dxa"/>
        <w:bottom w:w="0" w:type="dxa"/>
        <w:right w:w="0" w:type="dxa"/>
      </w:tblCellMar>
    </w:tblPr>
  </w:style>
  <w:style w:type="character" w:customStyle="1" w:styleId="PageNumber">
    <w:name w:val="PageNumber"/>
    <w:basedOn w:val="NormalCharacter"/>
    <w:rsid w:val="00680215"/>
  </w:style>
  <w:style w:type="character" w:styleId="a3">
    <w:name w:val="Emphasis"/>
    <w:basedOn w:val="NormalCharacter"/>
    <w:rsid w:val="00680215"/>
    <w:rPr>
      <w:i w:val="0"/>
      <w:iCs w:val="0"/>
      <w:color w:val="CC0000"/>
    </w:rPr>
  </w:style>
  <w:style w:type="character" w:customStyle="1" w:styleId="UserStyle1">
    <w:name w:val="UserStyle_1"/>
    <w:basedOn w:val="NormalCharacter"/>
    <w:link w:val="UserStyle2"/>
    <w:rsid w:val="00680215"/>
    <w:rPr>
      <w:rFonts w:ascii="宋体"/>
      <w:sz w:val="21"/>
      <w:lang w:val="en-US" w:eastAsia="zh-CN" w:bidi="ar-SA"/>
    </w:rPr>
  </w:style>
  <w:style w:type="paragraph" w:customStyle="1" w:styleId="UserStyle2">
    <w:name w:val="UserStyle_2"/>
    <w:link w:val="UserStyle1"/>
    <w:rsid w:val="00680215"/>
    <w:pPr>
      <w:ind w:firstLineChars="200" w:firstLine="200"/>
      <w:jc w:val="both"/>
      <w:textAlignment w:val="baseline"/>
    </w:pPr>
    <w:rPr>
      <w:rFonts w:ascii="宋体"/>
      <w:sz w:val="21"/>
    </w:rPr>
  </w:style>
  <w:style w:type="character" w:customStyle="1" w:styleId="UserStyle3">
    <w:name w:val="UserStyle_3"/>
    <w:basedOn w:val="NormalCharacter"/>
    <w:link w:val="BodyTextIndent"/>
    <w:rsid w:val="00680215"/>
    <w:rPr>
      <w:rFonts w:ascii="宋体" w:hAnsi="宋体"/>
      <w:kern w:val="2"/>
      <w:sz w:val="21"/>
      <w:szCs w:val="24"/>
    </w:rPr>
  </w:style>
  <w:style w:type="paragraph" w:customStyle="1" w:styleId="UserStyle4">
    <w:name w:val="UserStyle_4"/>
    <w:next w:val="UserStyle2"/>
    <w:rsid w:val="00680215"/>
    <w:pPr>
      <w:textAlignment w:val="baseline"/>
    </w:pPr>
    <w:rPr>
      <w:rFonts w:eastAsia="黑体"/>
      <w:sz w:val="21"/>
    </w:rPr>
  </w:style>
  <w:style w:type="paragraph" w:styleId="a4">
    <w:name w:val="header"/>
    <w:basedOn w:val="a"/>
    <w:link w:val="Char"/>
    <w:uiPriority w:val="99"/>
    <w:semiHidden/>
    <w:unhideWhenUsed/>
    <w:rsid w:val="00B06D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B06DD6"/>
    <w:rPr>
      <w:kern w:val="2"/>
      <w:sz w:val="18"/>
      <w:szCs w:val="18"/>
    </w:rPr>
  </w:style>
  <w:style w:type="paragraph" w:styleId="a5">
    <w:name w:val="footer"/>
    <w:basedOn w:val="a"/>
    <w:link w:val="Char0"/>
    <w:uiPriority w:val="99"/>
    <w:semiHidden/>
    <w:unhideWhenUsed/>
    <w:rsid w:val="00B06DD6"/>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B06DD6"/>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6</Pages>
  <Words>412</Words>
  <Characters>2349</Characters>
  <Application>Microsoft Office Word</Application>
  <DocSecurity>0</DocSecurity>
  <Lines>19</Lines>
  <Paragraphs>5</Paragraphs>
  <ScaleCrop>false</ScaleCrop>
  <Company/>
  <LinksUpToDate>false</LinksUpToDate>
  <CharactersWithSpaces>2756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用户</cp:lastModifiedBy>
  <cp:revision>9</cp:revision>
  <cp:lastPrinted>2021-07-21T08:04:00Z</cp:lastPrinted>
  <dcterms:created xsi:type="dcterms:W3CDTF">2021-07-13T14:02:00Z</dcterms:created>
  <dcterms:modified xsi:type="dcterms:W3CDTF">2021-08-26T13:44:00Z</dcterms:modified>
</cp:coreProperties>
</file>