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1"/>
        <w:rPr>
          <w:rFonts w:ascii="宋体" w:hAnsi="宋体"/>
          <w:color w:val="auto"/>
        </w:rPr>
      </w:pPr>
      <w:bookmarkStart w:id="0" w:name="SectionMark0"/>
      <w:r>
        <w:rPr>
          <w:color w:val="auto"/>
        </w:rPr>
        <w:pict>
          <v:shape id="fmFrame7" o:spid="_x0000_s1026" o:spt="202" type="#_x0000_t202" style="position:absolute;left:0pt;margin-left:-1.5pt;margin-top:675.3pt;height:28.6pt;width:481.9pt;mso-position-horizontal-relative:margin;mso-position-vertical-relative:margin;z-index:251666432;mso-width-relative:page;mso-height-relative:page;" stroked="f" coordsize="21600,21600">
            <v:path/>
            <v:fill focussize="0,0"/>
            <v:stroke on="f" joinstyle="miter"/>
            <v:imagedata o:title=""/>
            <o:lock v:ext="edit"/>
            <v:textbox inset="0mm,0mm,0mm,0mm">
              <w:txbxContent>
                <w:p>
                  <w:pPr>
                    <w:pStyle w:val="75"/>
                    <w:rPr>
                      <w:rFonts w:ascii="黑体" w:hAnsi="黑体" w:eastAsia="黑体"/>
                      <w:b w:val="0"/>
                    </w:rPr>
                  </w:pPr>
                  <w:r>
                    <w:rPr>
                      <w:rFonts w:hint="eastAsia" w:ascii="黑体" w:hAnsi="黑体" w:eastAsia="黑体"/>
                      <w:b w:val="0"/>
                      <w:sz w:val="32"/>
                      <w:szCs w:val="32"/>
                    </w:rPr>
                    <w:t>贵州黔枫堂大健康管理有限公司</w:t>
                  </w:r>
                  <w:r>
                    <w:rPr>
                      <w:rStyle w:val="50"/>
                      <w:rFonts w:hint="eastAsia" w:hAnsi="黑体"/>
                      <w:b w:val="0"/>
                    </w:rPr>
                    <w:t xml:space="preserve"> 发布</w:t>
                  </w:r>
                </w:p>
              </w:txbxContent>
            </v:textbox>
            <w10:anchorlock/>
          </v:shape>
        </w:pict>
      </w:r>
      <w:r>
        <w:rPr>
          <w:color w:val="auto"/>
        </w:rPr>
        <w:pict>
          <v:shape id="fmFrame6" o:spid="_x0000_s1027" o:spt="202" type="#_x0000_t202" style="position:absolute;left:0pt;margin-left:318.4pt;margin-top:640.55pt;height:24.6pt;width:159pt;mso-position-horizontal-relative:margin;mso-position-vertical-relative:margin;z-index:251665408;mso-width-relative:page;mso-height-relative:page;" stroked="f" coordsize="21600,21600">
            <v:path/>
            <v:fill focussize="0,0"/>
            <v:stroke on="f" joinstyle="miter"/>
            <v:imagedata o:title=""/>
            <o:lock v:ext="edit"/>
            <v:textbox inset="0mm,0mm,0mm,0mm">
              <w:txbxContent>
                <w:p>
                  <w:pPr>
                    <w:pStyle w:val="61"/>
                    <w:rPr>
                      <w:rFonts w:ascii="黑体" w:hAnsi="黑体"/>
                    </w:rPr>
                  </w:pPr>
                  <w:r>
                    <w:rPr>
                      <w:rFonts w:hint="eastAsia" w:ascii="黑体" w:hAnsi="黑体"/>
                    </w:rPr>
                    <w:t>2021-07-30实施</w:t>
                  </w:r>
                </w:p>
              </w:txbxContent>
            </v:textbox>
            <w10:anchorlock/>
          </v:shape>
        </w:pict>
      </w:r>
      <w:r>
        <w:rPr>
          <w:color w:val="auto"/>
        </w:rPr>
        <w:pict>
          <v:shape id="fmFrame5" o:spid="_x0000_s1028" o:spt="202" type="#_x0000_t202" style="position:absolute;left:0pt;margin-left:0pt;margin-top:639.8pt;height:24.6pt;width:159pt;mso-position-horizontal-relative:margin;mso-position-vertical-relative:margin;z-index:251664384;mso-width-relative:page;mso-height-relative:page;" stroked="f" coordsize="21600,21600">
            <v:path/>
            <v:fill focussize="0,0"/>
            <v:stroke on="f" joinstyle="miter"/>
            <v:imagedata o:title=""/>
            <o:lock v:ext="edit"/>
            <v:textbox inset="0mm,0mm,0mm,0mm">
              <w:txbxContent>
                <w:p>
                  <w:pPr>
                    <w:pStyle w:val="55"/>
                    <w:rPr>
                      <w:rFonts w:ascii="黑体" w:hAnsi="黑体"/>
                    </w:rPr>
                  </w:pPr>
                  <w:r>
                    <w:rPr>
                      <w:rFonts w:hint="eastAsia" w:ascii="黑体" w:hAnsi="黑体"/>
                    </w:rPr>
                    <w:t>2021-07-15发布</w:t>
                  </w:r>
                </w:p>
              </w:txbxContent>
            </v:textbox>
            <w10:anchorlock/>
          </v:shape>
        </w:pict>
      </w:r>
      <w:r>
        <w:rPr>
          <w:color w:val="auto"/>
        </w:rPr>
        <w:pict>
          <v:shape id="fmFrame4" o:spid="_x0000_s1029" o:spt="202" type="#_x0000_t202" style="position:absolute;left:0pt;margin-left:0pt;margin-top:286.25pt;height:368.6pt;width:470pt;mso-position-horizontal-relative:margin;mso-position-vertical-relative:margin;z-index:251663360;mso-width-relative:page;mso-height-relative:page;" stroked="f" coordsize="21600,21600">
            <v:path/>
            <v:fill focussize="0,0"/>
            <v:stroke on="f" joinstyle="miter"/>
            <v:imagedata o:title=""/>
            <o:lock v:ext="edit"/>
            <v:textbox inset="0mm,0mm,0mm,0mm">
              <w:txbxContent>
                <w:p>
                  <w:pPr>
                    <w:pStyle w:val="87"/>
                    <w:rPr>
                      <w:color w:val="FF0000"/>
                      <w:sz w:val="52"/>
                      <w:szCs w:val="52"/>
                    </w:rPr>
                  </w:pPr>
                  <w:r>
                    <w:rPr>
                      <w:rFonts w:hint="eastAsia" w:ascii="黑体" w:eastAsia="黑体"/>
                      <w:color w:val="000000"/>
                      <w:sz w:val="52"/>
                      <w:szCs w:val="52"/>
                    </w:rPr>
                    <w:t>仙斛贵草糖果（压片糖果）</w:t>
                  </w:r>
                </w:p>
                <w:p>
                  <w:pPr>
                    <w:pStyle w:val="66"/>
                  </w:pPr>
                </w:p>
                <w:p>
                  <w:pPr>
                    <w:pStyle w:val="85"/>
                  </w:pPr>
                </w:p>
                <w:p>
                  <w:pPr>
                    <w:pStyle w:val="83"/>
                  </w:pPr>
                </w:p>
              </w:txbxContent>
            </v:textbox>
            <w10:anchorlock/>
          </v:shape>
        </w:pict>
      </w:r>
      <w:r>
        <w:rPr>
          <w:color w:val="auto"/>
        </w:rPr>
        <w:pict>
          <v:shape id="fmFrame3" o:spid="_x0000_s1030" o:spt="202" type="#_x0000_t202" style="position:absolute;left:0pt;margin-left:25.5pt;margin-top:151.2pt;height:26.9pt;width:444.5pt;mso-position-horizontal-relative:margin;mso-position-vertical-relative:margin;z-index:251662336;mso-width-relative:page;mso-height-relative:page;" stroked="f" coordsize="21600,21600">
            <v:path/>
            <v:fill focussize="0,0"/>
            <v:stroke on="f" joinstyle="miter"/>
            <v:imagedata o:title=""/>
            <o:lock v:ext="edit"/>
            <v:textbox inset="0mm,0mm,0mm,0mm">
              <w:txbxContent>
                <w:p>
                  <w:pPr>
                    <w:pStyle w:val="95"/>
                    <w:spacing w:before="0"/>
                    <w:rPr>
                      <w:rFonts w:ascii="黑体" w:hAnsi="黑体" w:eastAsia="黑体" w:cs="黑体"/>
                      <w:szCs w:val="28"/>
                    </w:rPr>
                  </w:pPr>
                  <w:r>
                    <w:rPr>
                      <w:rFonts w:hint="eastAsia" w:ascii="黑体" w:hAnsi="黑体" w:eastAsia="黑体" w:cs="黑体"/>
                      <w:szCs w:val="28"/>
                    </w:rPr>
                    <w:t xml:space="preserve"> Q/QFT 0001S-2021 </w:t>
                  </w:r>
                </w:p>
              </w:txbxContent>
            </v:textbox>
            <w10:anchorlock/>
          </v:shape>
        </w:pict>
      </w:r>
      <w:r>
        <w:rPr>
          <w:color w:val="auto"/>
        </w:rPr>
        <w:pict>
          <v:shape id="fmFrame8" o:spid="_x0000_s1031" o:spt="202" type="#_x0000_t202" style="position:absolute;left:0pt;margin-left:173.25pt;margin-top:-19.2pt;height:57.35pt;width:292.75pt;mso-position-horizontal-relative:margin;mso-position-vertical-relative:margin;z-index:251661312;mso-width-relative:page;mso-height-relative:page;" stroked="f" coordsize="21600,21600">
            <v:path/>
            <v:fill focussize="0,0"/>
            <v:stroke on="f" joinstyle="miter"/>
            <v:imagedata o:title=""/>
            <o:lock v:ext="edit"/>
            <v:textbox inset="0mm,0mm,0mm,0mm">
              <w:txbxContent>
                <w:p>
                  <w:pPr>
                    <w:pStyle w:val="73"/>
                    <w:rPr>
                      <w:rFonts w:eastAsia="黑体"/>
                      <w:b w:val="0"/>
                    </w:rPr>
                  </w:pPr>
                  <w:r>
                    <w:rPr>
                      <w:rFonts w:hint="eastAsia" w:ascii="黑体" w:hAnsi="黑体" w:eastAsia="黑体" w:cs="黑体"/>
                      <w:b w:val="0"/>
                    </w:rPr>
                    <w:t>Q/QFT</w:t>
                  </w:r>
                </w:p>
              </w:txbxContent>
            </v:textbox>
            <w10:anchorlock/>
          </v:shape>
        </w:pict>
      </w:r>
      <w:r>
        <w:rPr>
          <w:color w:val="auto"/>
        </w:rPr>
        <w:pict>
          <v:shape id="fmFrame2" o:spid="_x0000_s1032" o:spt="202" type="#_x0000_t202" style="position:absolute;left:0pt;margin-left:0pt;margin-top:79.6pt;height:30.8pt;width:470pt;mso-position-horizontal-relative:margin;mso-position-vertical-relative:margin;z-index:251660288;mso-width-relative:page;mso-height-relative:page;" stroked="f" coordsize="21600,21600">
            <v:path/>
            <v:fill focussize="0,0"/>
            <v:stroke on="f" joinstyle="miter"/>
            <v:imagedata o:title=""/>
            <o:lock v:ext="edit"/>
            <v:textbox inset="0mm,0mm,0mm,0mm">
              <w:txbxContent>
                <w:p>
                  <w:pPr>
                    <w:pStyle w:val="56"/>
                  </w:pPr>
                  <w:r>
                    <w:rPr>
                      <w:rFonts w:hint="eastAsia"/>
                    </w:rPr>
                    <w:t>贵州省食品安全企业标准</w:t>
                  </w:r>
                </w:p>
              </w:txbxContent>
            </v:textbox>
            <w10:anchorlock/>
          </v:shape>
        </w:pict>
      </w:r>
      <w:r>
        <w:rPr>
          <w:color w:val="auto"/>
        </w:rPr>
        <w:pict>
          <v:shape id="fmFrame1" o:spid="_x0000_s1033" o:spt="202" type="#_x0000_t202" style="position:absolute;left:0pt;margin-left:0pt;margin-top:0pt;height:51.8pt;width:200pt;mso-position-horizontal-relative:margin;mso-position-vertical-relative:margin;z-index:251659264;mso-width-relative:page;mso-height-relative:page;" stroked="f" coordsize="21600,21600">
            <v:path/>
            <v:fill focussize="0,0"/>
            <v:stroke on="f" joinstyle="miter"/>
            <v:imagedata o:title=""/>
            <o:lock v:ext="edit"/>
            <v:textbox inset="0mm,0mm,0mm,0mm">
              <w:txbxContent>
                <w:p>
                  <w:pPr>
                    <w:pStyle w:val="68"/>
                  </w:pPr>
                </w:p>
                <w:p>
                  <w:pPr>
                    <w:pStyle w:val="68"/>
                  </w:pPr>
                </w:p>
              </w:txbxContent>
            </v:textbox>
            <w10:anchorlock/>
          </v:shape>
        </w:pict>
      </w:r>
      <w:bookmarkEnd w:id="0"/>
      <w:bookmarkStart w:id="1" w:name="SectionMark2"/>
      <w:r>
        <w:rPr>
          <w:rFonts w:hint="eastAsia" w:ascii="宋体" w:hAnsi="宋体"/>
          <w:color w:val="auto"/>
        </w:rPr>
        <w:t xml:space="preserve">   言</w:t>
      </w:r>
    </w:p>
    <w:p>
      <w:pPr>
        <w:pStyle w:val="52"/>
        <w:ind w:firstLine="420"/>
        <w:rPr>
          <w:rFonts w:hAnsi="宋体"/>
          <w:color w:val="auto"/>
        </w:rPr>
      </w:pPr>
      <w:r>
        <w:rPr>
          <w:rFonts w:hint="eastAsia" w:hAnsi="宋体"/>
          <w:color w:val="auto"/>
        </w:rPr>
        <w:t>本文件按照GB/T1.1《标准化工作导则  第1部分：标准的结构和编写规则》的要求编制。</w:t>
      </w:r>
    </w:p>
    <w:p>
      <w:pPr>
        <w:pStyle w:val="52"/>
        <w:ind w:firstLine="420"/>
        <w:rPr>
          <w:rFonts w:hAnsi="宋体"/>
          <w:color w:val="auto"/>
        </w:rPr>
      </w:pPr>
      <w:r>
        <w:rPr>
          <w:color w:val="auto"/>
        </w:rPr>
        <w:pict>
          <v:line id="Line 10" o:spid="_x0000_s1034" o:spt="20" style="position:absolute;left:0pt;margin-left:-1.5pt;margin-top:145.55pt;height:0.05pt;width:482pt;z-index:251667456;mso-width-relative:page;mso-height-relative:page;" coordsize="21600,21600">
            <v:path arrowok="t"/>
            <v:fill focussize="0,0"/>
            <v:stroke weight="1pt" color2="#800005"/>
            <v:imagedata o:title=""/>
            <o:lock v:ext="edit"/>
          </v:line>
        </w:pict>
      </w:r>
      <w:r>
        <w:rPr>
          <w:color w:val="auto"/>
        </w:rPr>
        <w:pict>
          <v:line id="Line 11" o:spid="_x0000_s1035" o:spt="20" style="position:absolute;left:0pt;margin-left:-3pt;margin-top:635.05pt;height:0.05pt;width:482pt;z-index:251668480;mso-width-relative:page;mso-height-relative:page;" coordsize="21600,21600">
            <v:path arrowok="t"/>
            <v:fill focussize="0,0"/>
            <v:stroke weight="1pt" color2="#800005"/>
            <v:imagedata o:title=""/>
            <o:lock v:ext="edit"/>
          </v:line>
        </w:pict>
      </w:r>
      <w:r>
        <w:rPr>
          <w:rFonts w:hint="eastAsia" w:hAnsi="宋体"/>
          <w:color w:val="auto"/>
        </w:rPr>
        <w:t>本文件由</w:t>
      </w:r>
      <w:r>
        <w:rPr>
          <w:rFonts w:hint="eastAsia" w:hAnsi="宋体"/>
          <w:color w:val="auto"/>
          <w:szCs w:val="21"/>
        </w:rPr>
        <w:t>贵州兴邦生物工程有限公</w:t>
      </w:r>
    </w:p>
    <w:p>
      <w:pPr>
        <w:pStyle w:val="52"/>
        <w:ind w:firstLine="420"/>
        <w:rPr>
          <w:rFonts w:hAnsi="宋体"/>
          <w:color w:val="auto"/>
        </w:rPr>
        <w:sectPr>
          <w:headerReference r:id="rId3" w:type="default"/>
          <w:footerReference r:id="rId4" w:type="default"/>
          <w:pgSz w:w="11907" w:h="16839"/>
          <w:pgMar w:top="1418" w:right="1418" w:bottom="1418" w:left="1418" w:header="1418" w:footer="850" w:gutter="0"/>
          <w:pgNumType w:fmt="upperRoman" w:start="1"/>
          <w:cols w:space="720" w:num="1"/>
          <w:docGrid w:type="linesAndChars" w:linePitch="312" w:charSpace="0"/>
        </w:sectPr>
      </w:pPr>
    </w:p>
    <w:bookmarkEnd w:id="1"/>
    <w:p>
      <w:pPr>
        <w:pStyle w:val="52"/>
        <w:spacing w:beforeLines="150" w:afterLines="150"/>
        <w:ind w:firstLine="0" w:firstLineChars="0"/>
        <w:jc w:val="center"/>
        <w:rPr>
          <w:rFonts w:ascii="黑体" w:hAnsi="黑体" w:eastAsia="黑体"/>
          <w:color w:val="auto"/>
          <w:sz w:val="32"/>
          <w:szCs w:val="32"/>
        </w:rPr>
      </w:pPr>
      <w:bookmarkStart w:id="2" w:name="SectionMark4"/>
      <w:r>
        <w:rPr>
          <w:rFonts w:hint="eastAsia" w:ascii="黑体" w:hAnsi="黑体" w:eastAsia="黑体"/>
          <w:color w:val="auto"/>
          <w:sz w:val="32"/>
          <w:szCs w:val="32"/>
        </w:rPr>
        <w:t>前  言</w:t>
      </w:r>
    </w:p>
    <w:p>
      <w:pPr>
        <w:numPr>
          <w:ilvl w:val="0"/>
          <w:numId w:val="1"/>
        </w:numPr>
        <w:ind w:firstLine="420" w:firstLineChars="200"/>
        <w:rPr>
          <w:color w:val="auto"/>
          <w:szCs w:val="21"/>
        </w:rPr>
      </w:pPr>
      <w:r>
        <w:rPr>
          <w:rFonts w:hint="eastAsia"/>
          <w:color w:val="auto"/>
          <w:szCs w:val="21"/>
        </w:rPr>
        <w:t>本文件依据</w:t>
      </w:r>
      <w:r>
        <w:rPr>
          <w:rFonts w:hint="eastAsia" w:ascii="宋体" w:hAnsi="宋体" w:cs="宋体"/>
          <w:color w:val="auto"/>
          <w:szCs w:val="21"/>
        </w:rPr>
        <w:t>GB/T 1.1—2020《标准化工作导则 第1部分：标准化文件的结构和起草规则》的规定起草</w:t>
      </w:r>
      <w:r>
        <w:rPr>
          <w:rFonts w:hint="eastAsia"/>
          <w:color w:val="auto"/>
          <w:szCs w:val="21"/>
        </w:rPr>
        <w:t>。</w:t>
      </w:r>
    </w:p>
    <w:p>
      <w:pPr>
        <w:pStyle w:val="52"/>
        <w:ind w:firstLine="420"/>
        <w:rPr>
          <w:rFonts w:hAnsi="宋体"/>
          <w:color w:val="auto"/>
        </w:rPr>
      </w:pPr>
      <w:r>
        <w:rPr>
          <w:rFonts w:hint="eastAsia" w:hAnsi="宋体"/>
          <w:color w:val="auto"/>
        </w:rPr>
        <w:t>本文件由</w:t>
      </w:r>
      <w:r>
        <w:rPr>
          <w:rFonts w:hint="eastAsia" w:hAnsi="宋体"/>
          <w:color w:val="auto"/>
          <w:szCs w:val="21"/>
        </w:rPr>
        <w:t>贵州黔枫堂大健康管理有限公司</w:t>
      </w:r>
      <w:r>
        <w:rPr>
          <w:rFonts w:hint="eastAsia" w:hAnsi="宋体"/>
          <w:color w:val="auto"/>
        </w:rPr>
        <w:t>提出。</w:t>
      </w:r>
    </w:p>
    <w:p>
      <w:pPr>
        <w:pStyle w:val="52"/>
        <w:ind w:firstLine="420"/>
        <w:rPr>
          <w:rFonts w:hAnsi="宋体"/>
          <w:color w:val="auto"/>
        </w:rPr>
      </w:pPr>
      <w:r>
        <w:rPr>
          <w:rFonts w:hint="eastAsia" w:hAnsi="宋体"/>
          <w:bCs/>
          <w:color w:val="auto"/>
          <w:szCs w:val="21"/>
        </w:rPr>
        <w:t>本</w:t>
      </w:r>
      <w:r>
        <w:rPr>
          <w:rFonts w:hint="eastAsia" w:hAnsi="宋体"/>
          <w:color w:val="auto"/>
        </w:rPr>
        <w:t>文件</w:t>
      </w:r>
      <w:r>
        <w:rPr>
          <w:rFonts w:hint="eastAsia" w:hAnsi="宋体"/>
          <w:bCs/>
          <w:color w:val="auto"/>
          <w:szCs w:val="21"/>
        </w:rPr>
        <w:t>起草单位：</w:t>
      </w:r>
      <w:r>
        <w:rPr>
          <w:rFonts w:hint="eastAsia" w:hAnsi="宋体"/>
          <w:color w:val="auto"/>
          <w:szCs w:val="21"/>
        </w:rPr>
        <w:t>贵州黔枫堂大健康管理有限公司</w:t>
      </w:r>
      <w:r>
        <w:rPr>
          <w:rFonts w:hint="eastAsia" w:hAnsi="宋体"/>
          <w:color w:val="auto"/>
        </w:rPr>
        <w:t>起草。</w:t>
      </w:r>
    </w:p>
    <w:p>
      <w:pPr>
        <w:pStyle w:val="52"/>
        <w:ind w:firstLine="420"/>
        <w:rPr>
          <w:rFonts w:hAnsi="宋体"/>
          <w:color w:val="auto"/>
          <w:u w:val="single"/>
        </w:rPr>
      </w:pPr>
      <w:r>
        <w:rPr>
          <w:rFonts w:hint="eastAsia" w:hAnsi="宋体"/>
          <w:color w:val="auto"/>
        </w:rPr>
        <w:t>本文件主要起草人：张礼、丁翎议、唐明亚。</w:t>
      </w:r>
    </w:p>
    <w:p>
      <w:pPr>
        <w:pStyle w:val="53"/>
        <w:rPr>
          <w:rFonts w:ascii="宋体" w:hAnsi="宋体" w:eastAsia="宋体"/>
          <w:color w:val="auto"/>
        </w:rPr>
      </w:pPr>
    </w:p>
    <w:p>
      <w:pPr>
        <w:pStyle w:val="53"/>
        <w:rPr>
          <w:rFonts w:ascii="宋体" w:hAnsi="宋体" w:eastAsia="宋体"/>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2"/>
        <w:ind w:firstLine="420"/>
        <w:rPr>
          <w:color w:val="auto"/>
        </w:rPr>
      </w:pPr>
    </w:p>
    <w:p>
      <w:pPr>
        <w:pStyle w:val="53"/>
        <w:rPr>
          <w:rFonts w:ascii="宋体" w:hAnsi="宋体" w:eastAsia="宋体"/>
          <w:color w:val="auto"/>
        </w:rPr>
      </w:pPr>
    </w:p>
    <w:p>
      <w:pPr>
        <w:pStyle w:val="52"/>
        <w:ind w:firstLine="420"/>
        <w:rPr>
          <w:color w:val="auto"/>
        </w:rPr>
      </w:pPr>
    </w:p>
    <w:p>
      <w:pPr>
        <w:pStyle w:val="52"/>
        <w:ind w:firstLine="420"/>
        <w:rPr>
          <w:color w:val="auto"/>
        </w:rPr>
      </w:pPr>
    </w:p>
    <w:p>
      <w:pPr>
        <w:pStyle w:val="52"/>
        <w:ind w:firstLine="420"/>
        <w:rPr>
          <w:color w:val="auto"/>
        </w:rPr>
      </w:pPr>
    </w:p>
    <w:p>
      <w:pPr>
        <w:pStyle w:val="26"/>
        <w:widowControl/>
        <w:spacing w:beforeLines="150" w:afterLines="150"/>
        <w:jc w:val="center"/>
        <w:rPr>
          <w:rFonts w:ascii="黑体" w:hAnsi="黑体" w:eastAsia="黑体"/>
          <w:color w:val="auto"/>
          <w:sz w:val="32"/>
          <w:szCs w:val="32"/>
        </w:rPr>
      </w:pPr>
      <w:r>
        <w:rPr>
          <w:rFonts w:hint="eastAsia" w:ascii="黑体" w:hAnsi="黑体" w:eastAsia="黑体"/>
          <w:color w:val="auto"/>
          <w:sz w:val="32"/>
          <w:szCs w:val="32"/>
        </w:rPr>
        <w:t>仙斛贵草糖果（压片糖果）</w:t>
      </w:r>
      <w:bookmarkEnd w:id="2"/>
    </w:p>
    <w:p>
      <w:pPr>
        <w:pStyle w:val="26"/>
        <w:widowControl/>
        <w:numPr>
          <w:ilvl w:val="1"/>
          <w:numId w:val="2"/>
        </w:numPr>
        <w:spacing w:beforeLines="50" w:afterLines="50"/>
        <w:outlineLvl w:val="1"/>
        <w:rPr>
          <w:rFonts w:hAnsi="宋体"/>
          <w:color w:val="auto"/>
          <w:szCs w:val="21"/>
        </w:rPr>
      </w:pPr>
      <w:r>
        <w:rPr>
          <w:rFonts w:hint="eastAsia" w:ascii="黑体" w:hAnsi="宋体" w:eastAsia="黑体" w:cs="黑体"/>
          <w:color w:val="auto"/>
          <w:kern w:val="0"/>
          <w:sz w:val="21"/>
          <w:szCs w:val="21"/>
        </w:rPr>
        <w:t>范围</w:t>
      </w:r>
    </w:p>
    <w:p>
      <w:pPr>
        <w:pStyle w:val="26"/>
        <w:widowControl/>
        <w:autoSpaceDE w:val="0"/>
        <w:autoSpaceDN w:val="0"/>
        <w:ind w:firstLine="420" w:firstLineChars="200"/>
        <w:rPr>
          <w:rFonts w:asciiTheme="minorEastAsia" w:hAnsiTheme="minorEastAsia" w:eastAsiaTheme="minorEastAsia"/>
          <w:color w:val="auto"/>
          <w:sz w:val="21"/>
          <w:szCs w:val="21"/>
        </w:rPr>
      </w:pPr>
      <w:r>
        <w:rPr>
          <w:rFonts w:hint="eastAsia" w:ascii="宋体" w:hAnsi="宋体" w:cs="宋体"/>
          <w:color w:val="auto"/>
          <w:kern w:val="0"/>
          <w:sz w:val="21"/>
          <w:szCs w:val="21"/>
        </w:rPr>
        <w:t>本文件规定了仙斛贵草糖果（压片糖果）</w:t>
      </w:r>
      <w:r>
        <w:rPr>
          <w:rFonts w:hint="eastAsia" w:asciiTheme="minorEastAsia" w:hAnsiTheme="minorEastAsia" w:eastAsiaTheme="minorEastAsia"/>
          <w:color w:val="auto"/>
          <w:kern w:val="0"/>
          <w:sz w:val="21"/>
          <w:szCs w:val="21"/>
        </w:rPr>
        <w:t>的要求（含检验方法）、检验规则及标志、标签、包装、运输、贮存。</w:t>
      </w:r>
    </w:p>
    <w:p>
      <w:pPr>
        <w:ind w:left="4" w:leftChars="2" w:firstLine="420" w:firstLineChars="200"/>
        <w:rPr>
          <w:rFonts w:ascii="宋体" w:hAnsi="宋体" w:cs="宋体"/>
          <w:color w:val="auto"/>
          <w:szCs w:val="21"/>
        </w:rPr>
      </w:pPr>
      <w:r>
        <w:rPr>
          <w:rFonts w:hint="eastAsia" w:ascii="宋体" w:hAnsi="宋体" w:cs="宋体"/>
          <w:color w:val="auto"/>
          <w:kern w:val="0"/>
          <w:szCs w:val="21"/>
        </w:rPr>
        <w:t>本文件适用于以食品添加剂（木糖醇</w:t>
      </w:r>
      <w:r>
        <w:rPr>
          <w:rFonts w:hint="eastAsia" w:ascii="新宋体" w:hAnsi="新宋体" w:eastAsia="新宋体" w:cs="新宋体"/>
          <w:color w:val="auto"/>
          <w:szCs w:val="21"/>
          <w:shd w:val="clear" w:color="auto" w:fill="FFFFFF"/>
        </w:rPr>
        <w:t>、</w:t>
      </w:r>
      <w:r>
        <w:rPr>
          <w:rFonts w:hint="eastAsia" w:ascii="宋体" w:hAnsi="宋体" w:cs="宋体"/>
          <w:color w:val="auto"/>
          <w:kern w:val="0"/>
          <w:szCs w:val="21"/>
        </w:rPr>
        <w:t>甜菊糖苷）为主要原料、取山楂、山药、人参（人工种植）、蛹虫草、冬瓜、黄精、葛根等全部或其中几种辅料，经预处理、部分提取、干燥，部分粉碎，配以</w:t>
      </w:r>
      <w:r>
        <w:rPr>
          <w:rFonts w:hint="eastAsia" w:ascii="新宋体" w:hAnsi="新宋体" w:eastAsia="新宋体" w:cs="新宋体"/>
          <w:color w:val="auto"/>
          <w:szCs w:val="21"/>
          <w:shd w:val="clear" w:color="auto" w:fill="FFFFFF"/>
        </w:rPr>
        <w:t>麦芽糊精、食品添加剂（微晶纤维素、硬脂酸镁、羧甲基纤维素钠）</w:t>
      </w:r>
      <w:r>
        <w:rPr>
          <w:rFonts w:hint="eastAsia" w:ascii="宋体" w:hAnsi="宋体" w:cs="宋体"/>
          <w:color w:val="auto"/>
          <w:kern w:val="0"/>
          <w:szCs w:val="21"/>
        </w:rPr>
        <w:t>等辅料混合、压片成型、包装工艺制成的仙斛贵草糖果（压片糖果）。</w:t>
      </w:r>
    </w:p>
    <w:p>
      <w:pPr>
        <w:pStyle w:val="26"/>
        <w:widowControl/>
        <w:numPr>
          <w:ilvl w:val="1"/>
          <w:numId w:val="2"/>
        </w:numPr>
        <w:spacing w:beforeLines="50" w:afterLines="50"/>
        <w:outlineLvl w:val="1"/>
        <w:rPr>
          <w:rFonts w:hAnsi="宋体"/>
          <w:color w:val="auto"/>
          <w:szCs w:val="21"/>
        </w:rPr>
      </w:pPr>
      <w:r>
        <w:rPr>
          <w:rFonts w:hint="eastAsia" w:ascii="黑体" w:hAnsi="宋体" w:eastAsia="黑体" w:cs="黑体"/>
          <w:color w:val="auto"/>
          <w:kern w:val="0"/>
          <w:sz w:val="21"/>
          <w:szCs w:val="21"/>
        </w:rPr>
        <w:t>规范性引用文件</w:t>
      </w:r>
    </w:p>
    <w:p>
      <w:pPr>
        <w:numPr>
          <w:ilvl w:val="0"/>
          <w:numId w:val="2"/>
        </w:numPr>
        <w:rPr>
          <w:rFonts w:ascii="宋体"/>
          <w:color w:val="auto"/>
          <w:kern w:val="0"/>
          <w:szCs w:val="20"/>
        </w:rPr>
      </w:pPr>
      <w:r>
        <w:rPr>
          <w:rFonts w:hint="eastAsia" w:ascii="宋体"/>
          <w:color w:val="auto"/>
          <w:kern w:val="0"/>
          <w:szCs w:val="20"/>
        </w:rPr>
        <w:t xml:space="preserve">    下列文件中的内容通过文中的规范性引用而构成本文件必不可少的条款。其中，注日期的引用文件，仅该日期对应的版本适用于本文件。不注日期的引用文件，其最新版本（包括所有的修改单）适用于本文件。</w:t>
      </w:r>
    </w:p>
    <w:p>
      <w:pPr>
        <w:ind w:left="900" w:hanging="500"/>
        <w:rPr>
          <w:rFonts w:ascii="宋体" w:hAnsi="宋体" w:cs="宋体"/>
          <w:color w:val="auto"/>
          <w:szCs w:val="21"/>
        </w:rPr>
      </w:pPr>
      <w:r>
        <w:rPr>
          <w:rFonts w:hint="eastAsia" w:ascii="宋体" w:hAnsi="宋体" w:cs="宋体"/>
          <w:color w:val="auto"/>
          <w:szCs w:val="21"/>
        </w:rPr>
        <w:t>GB/T 191  包装储运图示标志</w:t>
      </w:r>
    </w:p>
    <w:p>
      <w:pPr>
        <w:numPr>
          <w:ilvl w:val="0"/>
          <w:numId w:val="2"/>
        </w:numPr>
        <w:ind w:firstLine="420" w:firstLineChars="200"/>
        <w:rPr>
          <w:rFonts w:ascii="宋体" w:hAnsi="宋体" w:cs="宋体"/>
          <w:color w:val="auto"/>
          <w:szCs w:val="21"/>
        </w:rPr>
      </w:pPr>
      <w:r>
        <w:rPr>
          <w:rFonts w:hint="eastAsia" w:ascii="宋体" w:hAnsi="宋体" w:cs="宋体"/>
          <w:color w:val="auto"/>
          <w:szCs w:val="21"/>
        </w:rPr>
        <w:t>GB 1886.91  食品安全国家标准 食品添加剂 硬脂酸镁</w:t>
      </w:r>
    </w:p>
    <w:p>
      <w:pPr>
        <w:numPr>
          <w:ilvl w:val="0"/>
          <w:numId w:val="2"/>
        </w:numPr>
        <w:ind w:firstLine="420" w:firstLineChars="200"/>
        <w:rPr>
          <w:rFonts w:ascii="宋体" w:hAnsi="宋体" w:cs="宋体"/>
          <w:color w:val="auto"/>
          <w:szCs w:val="21"/>
        </w:rPr>
      </w:pPr>
      <w:r>
        <w:rPr>
          <w:rFonts w:hint="eastAsia" w:ascii="宋体" w:hAnsi="宋体" w:cs="宋体"/>
          <w:color w:val="auto"/>
          <w:szCs w:val="21"/>
        </w:rPr>
        <w:t>GB 1886.103  食品安全国家标准 食品添加剂 微晶纤维素</w:t>
      </w:r>
    </w:p>
    <w:p>
      <w:pPr>
        <w:numPr>
          <w:ilvl w:val="0"/>
          <w:numId w:val="2"/>
        </w:numPr>
        <w:ind w:firstLine="420" w:firstLineChars="200"/>
        <w:rPr>
          <w:rFonts w:ascii="宋体" w:hAnsi="宋体" w:cs="宋体"/>
          <w:color w:val="auto"/>
          <w:szCs w:val="21"/>
        </w:rPr>
      </w:pPr>
      <w:r>
        <w:rPr>
          <w:rFonts w:hint="eastAsia" w:ascii="宋体" w:hAnsi="宋体" w:cs="宋体"/>
          <w:color w:val="auto"/>
          <w:szCs w:val="21"/>
        </w:rPr>
        <w:t>GB 1886.232  食品安全国家标准 食品添加剂 羧甲基纤维素钠</w:t>
      </w:r>
      <w:bookmarkStart w:id="5" w:name="_GoBack"/>
      <w:bookmarkEnd w:id="5"/>
    </w:p>
    <w:p>
      <w:pPr>
        <w:numPr>
          <w:ilvl w:val="0"/>
          <w:numId w:val="2"/>
        </w:numPr>
        <w:ind w:firstLine="420" w:firstLineChars="200"/>
        <w:rPr>
          <w:rFonts w:ascii="宋体" w:hAnsi="宋体" w:cs="宋体"/>
          <w:color w:val="auto"/>
          <w:szCs w:val="21"/>
        </w:rPr>
      </w:pPr>
      <w:r>
        <w:rPr>
          <w:rFonts w:hint="eastAsia" w:ascii="宋体" w:hAnsi="宋体" w:cs="宋体"/>
          <w:color w:val="auto"/>
          <w:szCs w:val="21"/>
        </w:rPr>
        <w:t>GB 1886.234  食品安全国家标准 食品添加剂 木糖醇</w:t>
      </w:r>
    </w:p>
    <w:p>
      <w:pPr>
        <w:numPr>
          <w:ilvl w:val="0"/>
          <w:numId w:val="2"/>
        </w:numPr>
        <w:ind w:firstLine="420" w:firstLineChars="200"/>
        <w:rPr>
          <w:rFonts w:ascii="宋体" w:hAnsi="宋体" w:cs="宋体"/>
          <w:color w:val="auto"/>
          <w:szCs w:val="21"/>
        </w:rPr>
      </w:pPr>
      <w:r>
        <w:rPr>
          <w:rFonts w:hint="eastAsia" w:ascii="宋体" w:hAnsi="宋体" w:cs="宋体"/>
          <w:color w:val="auto"/>
          <w:szCs w:val="21"/>
        </w:rPr>
        <w:t>GB 2760  食品安全国家标准 食品添加剂使用标准</w:t>
      </w:r>
    </w:p>
    <w:p>
      <w:pPr>
        <w:numPr>
          <w:ilvl w:val="0"/>
          <w:numId w:val="2"/>
        </w:numPr>
        <w:ind w:firstLine="420" w:firstLineChars="200"/>
        <w:rPr>
          <w:rFonts w:ascii="宋体" w:hAnsi="宋体" w:cs="宋体"/>
          <w:color w:val="auto"/>
          <w:szCs w:val="21"/>
        </w:rPr>
      </w:pPr>
      <w:r>
        <w:rPr>
          <w:rFonts w:hint="eastAsia" w:ascii="宋体" w:hAnsi="宋体" w:cs="宋体"/>
          <w:color w:val="auto"/>
          <w:szCs w:val="21"/>
        </w:rPr>
        <w:t xml:space="preserve">GB 4789.1  </w:t>
      </w:r>
      <w:r>
        <w:rPr>
          <w:rFonts w:hint="eastAsia" w:cs="宋体"/>
          <w:color w:val="auto"/>
        </w:rPr>
        <w:t>食品安全国家标准</w:t>
      </w:r>
      <w:r>
        <w:rPr>
          <w:rFonts w:hint="eastAsia" w:ascii="宋体" w:hAnsi="宋体" w:cs="宋体"/>
          <w:color w:val="auto"/>
          <w:szCs w:val="21"/>
        </w:rPr>
        <w:t>食品卫生微生物检验 总则</w:t>
      </w:r>
    </w:p>
    <w:p>
      <w:pPr>
        <w:ind w:left="900" w:hanging="500"/>
        <w:rPr>
          <w:rFonts w:ascii="宋体" w:hAnsi="宋体" w:cs="宋体"/>
          <w:color w:val="auto"/>
          <w:szCs w:val="21"/>
        </w:rPr>
      </w:pPr>
      <w:r>
        <w:rPr>
          <w:rFonts w:hint="eastAsia" w:ascii="宋体" w:hAnsi="宋体" w:cs="宋体"/>
          <w:color w:val="auto"/>
          <w:szCs w:val="21"/>
        </w:rPr>
        <w:t xml:space="preserve">GB 4789.2  </w:t>
      </w:r>
      <w:r>
        <w:rPr>
          <w:rFonts w:hint="eastAsia" w:cs="宋体"/>
          <w:color w:val="auto"/>
        </w:rPr>
        <w:t>食品安全国家标准</w:t>
      </w:r>
      <w:r>
        <w:rPr>
          <w:rFonts w:hint="eastAsia" w:ascii="宋体" w:hAnsi="宋体" w:cs="宋体"/>
          <w:color w:val="auto"/>
          <w:szCs w:val="21"/>
        </w:rPr>
        <w:t>食品卫生微生物检验 菌落总数测定</w:t>
      </w:r>
    </w:p>
    <w:p>
      <w:pPr>
        <w:ind w:left="900" w:hanging="500"/>
        <w:rPr>
          <w:rFonts w:ascii="宋体" w:hAnsi="宋体" w:cs="宋体"/>
          <w:color w:val="auto"/>
          <w:szCs w:val="21"/>
        </w:rPr>
      </w:pPr>
      <w:r>
        <w:rPr>
          <w:rFonts w:hint="eastAsia" w:ascii="宋体" w:hAnsi="宋体" w:cs="宋体"/>
          <w:color w:val="auto"/>
          <w:szCs w:val="21"/>
        </w:rPr>
        <w:t xml:space="preserve">GB 4789.3  </w:t>
      </w:r>
      <w:r>
        <w:rPr>
          <w:rFonts w:hint="eastAsia" w:cs="宋体"/>
          <w:color w:val="auto"/>
        </w:rPr>
        <w:t>食品安全国家标准</w:t>
      </w:r>
      <w:r>
        <w:rPr>
          <w:rFonts w:hint="eastAsia" w:ascii="宋体" w:hAnsi="宋体" w:cs="宋体"/>
          <w:color w:val="auto"/>
          <w:szCs w:val="21"/>
        </w:rPr>
        <w:t>食品卫生微生物检验 大肠菌群测定</w:t>
      </w:r>
    </w:p>
    <w:p>
      <w:pPr>
        <w:ind w:left="900" w:hanging="500"/>
        <w:rPr>
          <w:rFonts w:ascii="宋体" w:hAnsi="宋体" w:cs="Tahoma"/>
          <w:color w:val="auto"/>
          <w:szCs w:val="21"/>
        </w:rPr>
      </w:pPr>
      <w:r>
        <w:rPr>
          <w:rFonts w:hint="eastAsia" w:ascii="宋体" w:hAnsi="宋体" w:cs="Tahoma"/>
          <w:color w:val="auto"/>
          <w:szCs w:val="21"/>
        </w:rPr>
        <w:t xml:space="preserve">GB 5009.3  </w:t>
      </w:r>
      <w:r>
        <w:rPr>
          <w:rFonts w:hint="eastAsia" w:ascii="宋体" w:hAnsi="宋体" w:cs="宋体"/>
          <w:color w:val="auto"/>
          <w:szCs w:val="21"/>
        </w:rPr>
        <w:t xml:space="preserve">国家食品安全标准 </w:t>
      </w:r>
      <w:r>
        <w:rPr>
          <w:rFonts w:hint="eastAsia" w:ascii="宋体" w:hAnsi="宋体" w:cs="Tahoma"/>
          <w:color w:val="auto"/>
          <w:szCs w:val="21"/>
        </w:rPr>
        <w:t>食品中水分的测定</w:t>
      </w:r>
    </w:p>
    <w:p>
      <w:pPr>
        <w:ind w:left="900" w:hanging="500"/>
        <w:rPr>
          <w:rFonts w:ascii="宋体" w:hAnsi="宋体" w:cs="Tahoma"/>
          <w:color w:val="auto"/>
          <w:szCs w:val="21"/>
        </w:rPr>
      </w:pPr>
      <w:r>
        <w:rPr>
          <w:rFonts w:hint="eastAsia" w:ascii="宋体" w:hAnsi="宋体" w:cs="宋体"/>
          <w:color w:val="auto"/>
          <w:szCs w:val="21"/>
        </w:rPr>
        <w:t xml:space="preserve">GB 5009.12  国家食品安全标准 </w:t>
      </w:r>
      <w:r>
        <w:rPr>
          <w:rFonts w:hint="eastAsia" w:ascii="宋体" w:hAnsi="宋体" w:cs="Tahoma"/>
          <w:color w:val="auto"/>
          <w:szCs w:val="21"/>
        </w:rPr>
        <w:t>食品中铅的测定</w:t>
      </w:r>
    </w:p>
    <w:p>
      <w:pPr>
        <w:ind w:left="900" w:hanging="500"/>
        <w:rPr>
          <w:rFonts w:ascii="宋体" w:hAnsi="宋体" w:cs="Tahoma"/>
          <w:color w:val="auto"/>
          <w:szCs w:val="21"/>
        </w:rPr>
      </w:pPr>
      <w:r>
        <w:rPr>
          <w:rFonts w:hint="eastAsia" w:ascii="宋体" w:hAnsi="宋体"/>
          <w:color w:val="auto"/>
        </w:rPr>
        <w:t>GB 5009.34  食品安全国家标准 食品中二氧化硫的的测定</w:t>
      </w:r>
    </w:p>
    <w:p>
      <w:pPr>
        <w:ind w:left="900" w:hanging="500"/>
        <w:rPr>
          <w:rFonts w:ascii="宋体" w:hAnsi="宋体" w:cs="宋体"/>
          <w:color w:val="auto"/>
          <w:szCs w:val="21"/>
        </w:rPr>
      </w:pPr>
      <w:r>
        <w:rPr>
          <w:rFonts w:hint="eastAsia" w:ascii="宋体" w:hAnsi="宋体" w:cs="宋体"/>
          <w:color w:val="auto"/>
          <w:szCs w:val="21"/>
        </w:rPr>
        <w:t>GB 5749  生活饮用水卫生标准</w:t>
      </w:r>
    </w:p>
    <w:p>
      <w:pPr>
        <w:ind w:left="900" w:hanging="500"/>
        <w:rPr>
          <w:rFonts w:ascii="宋体" w:hAnsi="宋体" w:cs="宋体"/>
          <w:color w:val="auto"/>
          <w:szCs w:val="21"/>
        </w:rPr>
      </w:pPr>
      <w:r>
        <w:rPr>
          <w:rFonts w:hint="eastAsia" w:ascii="宋体" w:hAnsi="宋体" w:cs="宋体"/>
          <w:color w:val="auto"/>
          <w:szCs w:val="21"/>
        </w:rPr>
        <w:t>GB 7718  食品安全国家标准 预包装食品标签通则</w:t>
      </w:r>
    </w:p>
    <w:p>
      <w:pPr>
        <w:ind w:left="900" w:hanging="500"/>
        <w:rPr>
          <w:rStyle w:val="39"/>
          <w:rFonts w:ascii="宋体" w:hAnsi="宋体" w:cs="宋体"/>
          <w:bCs/>
          <w:color w:val="auto"/>
          <w:szCs w:val="21"/>
          <w:shd w:val="clear" w:color="auto" w:fill="FFFFFF"/>
        </w:rPr>
      </w:pPr>
      <w:r>
        <w:rPr>
          <w:color w:val="auto"/>
        </w:rPr>
        <w:fldChar w:fldCharType="begin"/>
      </w:r>
      <w:r>
        <w:rPr>
          <w:color w:val="auto"/>
        </w:rPr>
        <w:instrText xml:space="preserve"> HYPERLINK "http://down.foodmate.net/standard/sort/3/44557.html" \t "E:YI各种企标（2015-2021）企标：压片糖果（苗之树2个标准棠安绛压片糖果_blank" \o "GB 8270-2014 食品安全国家标准 食品添加剂 甜菊糖苷（2015-7-28实施）" </w:instrText>
      </w:r>
      <w:r>
        <w:rPr>
          <w:color w:val="auto"/>
        </w:rPr>
        <w:fldChar w:fldCharType="separate"/>
      </w:r>
      <w:r>
        <w:rPr>
          <w:rStyle w:val="39"/>
          <w:rFonts w:hint="eastAsia" w:ascii="宋体" w:hAnsi="宋体" w:cs="宋体"/>
          <w:color w:val="auto"/>
          <w:szCs w:val="21"/>
          <w:shd w:val="clear" w:color="auto" w:fill="FFFFFF"/>
        </w:rPr>
        <w:t xml:space="preserve">GB 8270  食品安全国家标准 食品添加剂 </w:t>
      </w:r>
      <w:r>
        <w:rPr>
          <w:rStyle w:val="39"/>
          <w:rFonts w:hint="eastAsia" w:ascii="宋体" w:hAnsi="宋体" w:cs="宋体"/>
          <w:bCs/>
          <w:color w:val="auto"/>
          <w:szCs w:val="21"/>
          <w:shd w:val="clear" w:color="auto" w:fill="FFFFFF"/>
        </w:rPr>
        <w:t>甜菊糖苷</w:t>
      </w:r>
      <w:r>
        <w:rPr>
          <w:rStyle w:val="39"/>
          <w:rFonts w:hint="eastAsia" w:ascii="宋体" w:hAnsi="宋体" w:cs="宋体"/>
          <w:bCs/>
          <w:color w:val="auto"/>
          <w:szCs w:val="21"/>
          <w:shd w:val="clear" w:color="auto" w:fill="FFFFFF"/>
        </w:rPr>
        <w:fldChar w:fldCharType="end"/>
      </w:r>
    </w:p>
    <w:p>
      <w:pPr>
        <w:ind w:left="900" w:hanging="500"/>
        <w:rPr>
          <w:rFonts w:ascii="宋体" w:hAnsi="宋体" w:cs="宋体"/>
          <w:color w:val="auto"/>
        </w:rPr>
      </w:pPr>
      <w:r>
        <w:rPr>
          <w:rFonts w:hint="eastAsia" w:ascii="宋体" w:hAnsi="宋体"/>
          <w:color w:val="auto"/>
        </w:rPr>
        <w:t>GB/T 8854  蔬菜名称（一）</w:t>
      </w:r>
    </w:p>
    <w:p>
      <w:pPr>
        <w:ind w:firstLine="420" w:firstLineChars="200"/>
        <w:rPr>
          <w:rFonts w:ascii="宋体" w:hAnsi="宋体"/>
          <w:color w:val="auto"/>
        </w:rPr>
      </w:pPr>
      <w:r>
        <w:rPr>
          <w:rFonts w:hint="eastAsia" w:ascii="宋体" w:hAnsi="宋体"/>
          <w:color w:val="auto"/>
        </w:rPr>
        <w:t xml:space="preserve">GB 14881  </w:t>
      </w:r>
      <w:r>
        <w:rPr>
          <w:rFonts w:hint="eastAsia"/>
          <w:color w:val="auto"/>
        </w:rPr>
        <w:t xml:space="preserve">食品安全国家标准 </w:t>
      </w:r>
      <w:r>
        <w:rPr>
          <w:rFonts w:ascii="宋体" w:hAnsi="宋体"/>
          <w:color w:val="auto"/>
        </w:rPr>
        <w:t>食品</w:t>
      </w:r>
      <w:r>
        <w:rPr>
          <w:rFonts w:hint="eastAsia" w:ascii="宋体" w:hAnsi="宋体"/>
          <w:color w:val="auto"/>
        </w:rPr>
        <w:t>生产</w:t>
      </w:r>
      <w:r>
        <w:rPr>
          <w:rFonts w:ascii="宋体" w:hAnsi="宋体"/>
          <w:color w:val="auto"/>
        </w:rPr>
        <w:t>通用卫生规范</w:t>
      </w:r>
    </w:p>
    <w:p>
      <w:pPr>
        <w:ind w:left="900" w:hanging="500"/>
        <w:rPr>
          <w:rFonts w:ascii="宋体" w:hAnsi="宋体" w:cs="宋体"/>
          <w:color w:val="auto"/>
          <w:szCs w:val="21"/>
        </w:rPr>
      </w:pPr>
      <w:r>
        <w:rPr>
          <w:rFonts w:hint="eastAsia" w:ascii="宋体" w:hAnsi="宋体" w:cs="宋体"/>
          <w:color w:val="auto"/>
          <w:szCs w:val="21"/>
        </w:rPr>
        <w:t>GB/T 20884  食品安全国家标准 麦芽糊精</w:t>
      </w:r>
    </w:p>
    <w:p>
      <w:pPr>
        <w:ind w:left="900" w:hanging="500"/>
        <w:rPr>
          <w:rFonts w:ascii="宋体" w:hAnsi="宋体" w:cs="宋体"/>
          <w:color w:val="auto"/>
          <w:szCs w:val="21"/>
        </w:rPr>
      </w:pPr>
      <w:r>
        <w:rPr>
          <w:rFonts w:hint="eastAsia" w:ascii="宋体" w:hAnsi="宋体" w:cs="宋体"/>
          <w:color w:val="auto"/>
          <w:szCs w:val="21"/>
        </w:rPr>
        <w:t>GB 28050  食品安全国家标准 预包装食品营养标签通则</w:t>
      </w:r>
    </w:p>
    <w:p>
      <w:pPr>
        <w:ind w:left="900" w:hanging="500"/>
        <w:rPr>
          <w:rFonts w:ascii="宋体" w:hAnsi="宋体" w:cs="宋体"/>
          <w:color w:val="auto"/>
          <w:szCs w:val="21"/>
        </w:rPr>
      </w:pPr>
      <w:r>
        <w:rPr>
          <w:rFonts w:hint="eastAsia" w:ascii="宋体" w:hAnsi="宋体" w:cs="宋体"/>
          <w:color w:val="auto"/>
          <w:szCs w:val="21"/>
        </w:rPr>
        <w:t>JJF 1070  定量包装商品净含量计量检验规则</w:t>
      </w:r>
    </w:p>
    <w:p>
      <w:pPr>
        <w:numPr>
          <w:ilvl w:val="0"/>
          <w:numId w:val="2"/>
        </w:numPr>
        <w:ind w:firstLine="420" w:firstLineChars="200"/>
        <w:rPr>
          <w:rFonts w:ascii="宋体" w:hAnsi="宋体" w:cs="宋体"/>
          <w:color w:val="auto"/>
          <w:szCs w:val="21"/>
        </w:rPr>
      </w:pPr>
      <w:r>
        <w:rPr>
          <w:rFonts w:hint="eastAsia" w:ascii="宋体" w:hAnsi="宋体" w:cs="宋体"/>
          <w:color w:val="auto"/>
          <w:szCs w:val="21"/>
        </w:rPr>
        <w:t>原国家质量监督检验检疫总局令（第75号）《定量包装商品计量监督管理办法》</w:t>
      </w:r>
    </w:p>
    <w:p>
      <w:pPr>
        <w:numPr>
          <w:ilvl w:val="0"/>
          <w:numId w:val="2"/>
        </w:numPr>
        <w:ind w:firstLine="420" w:firstLineChars="200"/>
        <w:jc w:val="left"/>
        <w:rPr>
          <w:rFonts w:ascii="宋体" w:hAnsi="宋体" w:cs="宋体"/>
          <w:color w:val="auto"/>
          <w:kern w:val="36"/>
          <w:szCs w:val="21"/>
        </w:rPr>
      </w:pPr>
      <w:r>
        <w:rPr>
          <w:rFonts w:hint="eastAsia" w:ascii="宋体" w:hAnsi="宋体" w:cs="宋体"/>
          <w:color w:val="auto"/>
          <w:kern w:val="36"/>
          <w:szCs w:val="21"/>
        </w:rPr>
        <w:t>原卫生部关于进一步规范保健食品原料管理的通知(卫法监发[2002]51号)</w:t>
      </w:r>
    </w:p>
    <w:p>
      <w:pPr>
        <w:numPr>
          <w:ilvl w:val="0"/>
          <w:numId w:val="2"/>
        </w:numPr>
        <w:ind w:firstLine="420" w:firstLineChars="200"/>
        <w:rPr>
          <w:rFonts w:asciiTheme="minorEastAsia" w:hAnsiTheme="minorEastAsia" w:eastAsiaTheme="minorEastAsia"/>
          <w:color w:val="auto"/>
        </w:rPr>
      </w:pPr>
      <w:r>
        <w:rPr>
          <w:rFonts w:hint="eastAsia" w:ascii="宋体" w:hAnsi="宋体" w:cs="宋体"/>
          <w:color w:val="auto"/>
          <w:szCs w:val="21"/>
        </w:rPr>
        <w:t>原卫生部新资源食品公告（2012年第17号）关于批准人参（人工种植）为新资源食品的公告</w:t>
      </w:r>
    </w:p>
    <w:p>
      <w:pPr>
        <w:numPr>
          <w:ilvl w:val="0"/>
          <w:numId w:val="2"/>
        </w:numPr>
        <w:ind w:firstLine="420" w:firstLineChars="200"/>
        <w:rPr>
          <w:rFonts w:asciiTheme="minorEastAsia" w:hAnsiTheme="minorEastAsia" w:eastAsiaTheme="minorEastAsia"/>
          <w:color w:val="auto"/>
        </w:rPr>
      </w:pPr>
      <w:r>
        <w:rPr>
          <w:rFonts w:ascii="宋体" w:hAnsi="宋体"/>
          <w:color w:val="auto"/>
        </w:rPr>
        <w:t>新食品原料的公告（2014年</w:t>
      </w:r>
      <w:r>
        <w:rPr>
          <w:rFonts w:hint="eastAsia" w:ascii="宋体" w:hAnsi="宋体"/>
          <w:color w:val="auto"/>
        </w:rPr>
        <w:t xml:space="preserve"> </w:t>
      </w:r>
      <w:r>
        <w:rPr>
          <w:rFonts w:ascii="宋体" w:hAnsi="宋体"/>
          <w:color w:val="auto"/>
        </w:rPr>
        <w:t>第10号）</w:t>
      </w:r>
      <w:r>
        <w:rPr>
          <w:rFonts w:hint="eastAsia" w:asciiTheme="minorEastAsia" w:hAnsiTheme="minorEastAsia" w:eastAsiaTheme="minorEastAsia"/>
          <w:color w:val="auto"/>
        </w:rPr>
        <w:t>关于批准塔格糖等6种新食品原料的公告</w:t>
      </w:r>
    </w:p>
    <w:p>
      <w:pPr>
        <w:rPr>
          <w:rFonts w:asciiTheme="minorEastAsia" w:hAnsiTheme="minorEastAsia" w:eastAsiaTheme="minorEastAsia"/>
          <w:color w:val="auto"/>
        </w:rPr>
      </w:pPr>
    </w:p>
    <w:p>
      <w:pPr>
        <w:rPr>
          <w:rFonts w:asciiTheme="minorEastAsia" w:hAnsiTheme="minorEastAsia" w:eastAsiaTheme="minorEastAsia"/>
          <w:color w:val="auto"/>
        </w:rPr>
      </w:pPr>
    </w:p>
    <w:p>
      <w:pPr>
        <w:pStyle w:val="26"/>
        <w:widowControl/>
        <w:numPr>
          <w:ilvl w:val="0"/>
          <w:numId w:val="3"/>
        </w:numPr>
        <w:spacing w:beforeLines="100" w:afterLines="100"/>
        <w:outlineLvl w:val="1"/>
        <w:rPr>
          <w:rFonts w:hAnsi="宋体"/>
          <w:color w:val="auto"/>
          <w:szCs w:val="21"/>
        </w:rPr>
      </w:pPr>
      <w:r>
        <w:rPr>
          <w:rFonts w:hint="eastAsia" w:ascii="黑体" w:hAnsi="宋体" w:eastAsia="黑体" w:cs="黑体"/>
          <w:color w:val="auto"/>
          <w:kern w:val="0"/>
          <w:sz w:val="21"/>
          <w:szCs w:val="20"/>
        </w:rPr>
        <w:t>要</w:t>
      </w:r>
      <w:r>
        <w:rPr>
          <w:rFonts w:hint="eastAsia" w:ascii="黑体" w:hAnsi="宋体" w:eastAsia="黑体" w:cs="黑体"/>
          <w:color w:val="auto"/>
          <w:kern w:val="0"/>
          <w:sz w:val="21"/>
          <w:szCs w:val="21"/>
        </w:rPr>
        <w:t>求</w:t>
      </w:r>
    </w:p>
    <w:p>
      <w:pPr>
        <w:pStyle w:val="26"/>
        <w:widowControl/>
        <w:numPr>
          <w:ilvl w:val="1"/>
          <w:numId w:val="3"/>
        </w:numPr>
        <w:spacing w:beforeLines="50" w:afterLines="50"/>
        <w:jc w:val="left"/>
        <w:outlineLvl w:val="2"/>
        <w:rPr>
          <w:color w:val="auto"/>
        </w:rPr>
      </w:pPr>
      <w:r>
        <w:rPr>
          <w:rFonts w:hint="eastAsia" w:eastAsia="黑体" w:cs="黑体"/>
          <w:color w:val="auto"/>
          <w:kern w:val="0"/>
          <w:sz w:val="21"/>
          <w:szCs w:val="20"/>
        </w:rPr>
        <w:t xml:space="preserve"> 原料及食品添加剂要求</w:t>
      </w:r>
    </w:p>
    <w:p>
      <w:pPr>
        <w:pStyle w:val="26"/>
        <w:widowControl/>
        <w:numPr>
          <w:ilvl w:val="2"/>
          <w:numId w:val="3"/>
        </w:numPr>
        <w:spacing w:beforeLines="50" w:afterLines="50"/>
        <w:jc w:val="left"/>
        <w:outlineLvl w:val="3"/>
        <w:rPr>
          <w:rFonts w:ascii="黑体" w:hAnsi="黑体" w:eastAsia="黑体"/>
          <w:color w:val="auto"/>
          <w:sz w:val="21"/>
          <w:szCs w:val="21"/>
        </w:rPr>
      </w:pPr>
      <w:r>
        <w:rPr>
          <w:rFonts w:hint="eastAsia" w:ascii="黑体" w:hAnsi="黑体" w:eastAsia="黑体" w:cs="宋体"/>
          <w:color w:val="auto"/>
          <w:kern w:val="0"/>
          <w:sz w:val="21"/>
          <w:szCs w:val="21"/>
        </w:rPr>
        <w:t>山楂、山药、黄精、葛根</w:t>
      </w:r>
    </w:p>
    <w:p>
      <w:pPr>
        <w:pStyle w:val="26"/>
        <w:widowControl/>
        <w:autoSpaceDE w:val="0"/>
        <w:autoSpaceDN w:val="0"/>
        <w:ind w:firstLine="420" w:firstLineChars="200"/>
        <w:rPr>
          <w:rFonts w:hAnsi="宋体"/>
          <w:color w:val="auto"/>
          <w:szCs w:val="21"/>
        </w:rPr>
      </w:pPr>
      <w:r>
        <w:rPr>
          <w:rFonts w:hint="eastAsia" w:ascii="宋体" w:hAnsi="宋体" w:cs="宋体"/>
          <w:color w:val="auto"/>
          <w:kern w:val="0"/>
          <w:sz w:val="21"/>
          <w:szCs w:val="21"/>
        </w:rPr>
        <w:t>应无霉变、无泥沙、无杂质、无劣变、无异味，并符合</w:t>
      </w:r>
      <w:r>
        <w:rPr>
          <w:rFonts w:hint="eastAsia" w:ascii="宋体" w:hAnsi="宋体" w:cs="宋体"/>
          <w:color w:val="auto"/>
          <w:kern w:val="36"/>
          <w:sz w:val="21"/>
          <w:szCs w:val="21"/>
        </w:rPr>
        <w:t>卫法监发[2002]51号及</w:t>
      </w:r>
      <w:r>
        <w:rPr>
          <w:rFonts w:hint="eastAsia" w:ascii="宋体" w:hAnsi="宋体"/>
          <w:color w:val="auto"/>
          <w:kern w:val="0"/>
          <w:sz w:val="21"/>
          <w:szCs w:val="21"/>
        </w:rPr>
        <w:t>相关食品安全国家标准和有关规定。</w:t>
      </w:r>
    </w:p>
    <w:p>
      <w:pPr>
        <w:pStyle w:val="26"/>
        <w:widowControl/>
        <w:numPr>
          <w:ilvl w:val="2"/>
          <w:numId w:val="3"/>
        </w:numPr>
        <w:spacing w:beforeLines="50" w:afterLines="50"/>
        <w:jc w:val="left"/>
        <w:outlineLvl w:val="3"/>
        <w:rPr>
          <w:color w:val="auto"/>
          <w:szCs w:val="21"/>
        </w:rPr>
      </w:pPr>
      <w:r>
        <w:rPr>
          <w:rFonts w:hint="eastAsia" w:eastAsia="黑体" w:cs="黑体"/>
          <w:color w:val="auto"/>
          <w:kern w:val="0"/>
          <w:sz w:val="21"/>
          <w:szCs w:val="21"/>
        </w:rPr>
        <w:t>人参（人工种植）</w:t>
      </w:r>
    </w:p>
    <w:p>
      <w:pPr>
        <w:ind w:left="900" w:hanging="500"/>
        <w:rPr>
          <w:rFonts w:ascii="宋体" w:hAnsi="宋体" w:cs="宋体"/>
          <w:color w:val="auto"/>
          <w:szCs w:val="21"/>
        </w:rPr>
      </w:pPr>
      <w:r>
        <w:rPr>
          <w:rFonts w:hint="eastAsia" w:ascii="宋体" w:cs="宋体"/>
          <w:color w:val="auto"/>
          <w:kern w:val="0"/>
          <w:szCs w:val="20"/>
        </w:rPr>
        <w:t>应符合</w:t>
      </w:r>
      <w:r>
        <w:rPr>
          <w:rFonts w:hint="eastAsia" w:ascii="宋体" w:hAnsi="宋体" w:cs="宋体"/>
          <w:color w:val="auto"/>
          <w:szCs w:val="21"/>
        </w:rPr>
        <w:t>原卫生部新资源食品公告（2012年第17号）的规定。</w:t>
      </w:r>
    </w:p>
    <w:p>
      <w:pPr>
        <w:pStyle w:val="26"/>
        <w:widowControl/>
        <w:numPr>
          <w:ilvl w:val="2"/>
          <w:numId w:val="3"/>
        </w:numPr>
        <w:tabs>
          <w:tab w:val="left" w:pos="0"/>
        </w:tabs>
        <w:spacing w:beforeLines="50" w:afterLines="50"/>
        <w:jc w:val="left"/>
        <w:outlineLvl w:val="3"/>
        <w:rPr>
          <w:rFonts w:ascii="黑体" w:hAnsi="宋体" w:eastAsia="黑体" w:cs="黑体"/>
          <w:color w:val="auto"/>
          <w:szCs w:val="21"/>
        </w:rPr>
      </w:pPr>
      <w:r>
        <w:rPr>
          <w:rFonts w:hint="eastAsia" w:ascii="黑体" w:hAnsi="宋体" w:eastAsia="黑体" w:cs="黑体"/>
          <w:color w:val="auto"/>
          <w:kern w:val="0"/>
          <w:sz w:val="21"/>
          <w:szCs w:val="21"/>
        </w:rPr>
        <w:t>麦芽糊精</w:t>
      </w:r>
    </w:p>
    <w:p>
      <w:pPr>
        <w:pStyle w:val="26"/>
        <w:widowControl/>
        <w:autoSpaceDE w:val="0"/>
        <w:autoSpaceDN w:val="0"/>
        <w:ind w:firstLine="420" w:firstLineChars="200"/>
        <w:rPr>
          <w:color w:val="auto"/>
          <w:szCs w:val="21"/>
        </w:rPr>
      </w:pPr>
      <w:r>
        <w:rPr>
          <w:rFonts w:hint="eastAsia" w:ascii="宋体" w:cs="宋体"/>
          <w:color w:val="auto"/>
          <w:kern w:val="0"/>
          <w:sz w:val="21"/>
          <w:szCs w:val="20"/>
        </w:rPr>
        <w:t>应符合</w:t>
      </w:r>
      <w:r>
        <w:rPr>
          <w:rFonts w:hint="eastAsia" w:ascii="宋体" w:hAnsi="宋体" w:cs="宋体"/>
          <w:color w:val="auto"/>
          <w:kern w:val="0"/>
          <w:sz w:val="21"/>
          <w:szCs w:val="21"/>
        </w:rPr>
        <w:t>GB/T 20884</w:t>
      </w:r>
      <w:r>
        <w:rPr>
          <w:rFonts w:hint="eastAsia" w:ascii="宋体" w:cs="宋体"/>
          <w:color w:val="auto"/>
          <w:kern w:val="0"/>
          <w:sz w:val="21"/>
          <w:szCs w:val="21"/>
        </w:rPr>
        <w:t>的规定。</w:t>
      </w:r>
    </w:p>
    <w:p>
      <w:pPr>
        <w:pStyle w:val="26"/>
        <w:widowControl/>
        <w:numPr>
          <w:ilvl w:val="2"/>
          <w:numId w:val="3"/>
        </w:numPr>
        <w:tabs>
          <w:tab w:val="left" w:pos="0"/>
        </w:tabs>
        <w:spacing w:beforeLines="50" w:afterLines="50"/>
        <w:jc w:val="left"/>
        <w:outlineLvl w:val="2"/>
        <w:rPr>
          <w:color w:val="auto"/>
        </w:rPr>
      </w:pPr>
      <w:r>
        <w:rPr>
          <w:rFonts w:hint="eastAsia" w:eastAsia="黑体" w:cs="黑体"/>
          <w:color w:val="auto"/>
          <w:kern w:val="0"/>
          <w:sz w:val="21"/>
          <w:szCs w:val="20"/>
        </w:rPr>
        <w:t>生产用水</w:t>
      </w:r>
    </w:p>
    <w:p>
      <w:pPr>
        <w:pStyle w:val="26"/>
        <w:widowControl/>
        <w:autoSpaceDE w:val="0"/>
        <w:autoSpaceDN w:val="0"/>
        <w:ind w:firstLine="420" w:firstLineChars="200"/>
        <w:rPr>
          <w:rFonts w:ascii="宋体" w:hAnsi="宋体"/>
          <w:color w:val="auto"/>
          <w:kern w:val="0"/>
          <w:sz w:val="21"/>
          <w:szCs w:val="21"/>
        </w:rPr>
      </w:pPr>
      <w:r>
        <w:rPr>
          <w:rFonts w:hint="eastAsia" w:ascii="宋体"/>
          <w:color w:val="auto"/>
          <w:kern w:val="0"/>
          <w:sz w:val="21"/>
          <w:szCs w:val="20"/>
        </w:rPr>
        <w:t>应符合</w:t>
      </w:r>
      <w:r>
        <w:rPr>
          <w:rFonts w:hint="eastAsia" w:ascii="宋体" w:hAnsi="宋体"/>
          <w:color w:val="auto"/>
          <w:kern w:val="0"/>
          <w:sz w:val="21"/>
          <w:szCs w:val="21"/>
        </w:rPr>
        <w:t>GB 5749的规定。</w:t>
      </w:r>
    </w:p>
    <w:p>
      <w:pPr>
        <w:spacing w:beforeLines="50" w:afterLines="50"/>
        <w:rPr>
          <w:rFonts w:ascii="黑体" w:hAnsi="黑体" w:eastAsia="黑体"/>
          <w:color w:val="auto"/>
          <w:szCs w:val="21"/>
        </w:rPr>
      </w:pPr>
      <w:r>
        <w:rPr>
          <w:rFonts w:hint="eastAsia" w:ascii="黑体" w:hAnsi="黑体" w:eastAsia="黑体"/>
          <w:color w:val="auto"/>
          <w:szCs w:val="21"/>
        </w:rPr>
        <w:t>3.1.5  蛹虫草</w:t>
      </w:r>
    </w:p>
    <w:p>
      <w:pPr>
        <w:ind w:firstLine="420" w:firstLineChars="200"/>
        <w:rPr>
          <w:rFonts w:ascii="宋体" w:hAnsi="宋体"/>
          <w:color w:val="auto"/>
        </w:rPr>
      </w:pPr>
      <w:r>
        <w:rPr>
          <w:rFonts w:hint="eastAsia" w:hAnsi="宋体"/>
          <w:color w:val="auto"/>
          <w:szCs w:val="21"/>
        </w:rPr>
        <w:t>应符合</w:t>
      </w:r>
      <w:r>
        <w:rPr>
          <w:color w:val="auto"/>
        </w:rPr>
        <w:t>新食品原料的公告（2014年</w:t>
      </w:r>
      <w:r>
        <w:rPr>
          <w:rFonts w:hint="eastAsia"/>
          <w:color w:val="auto"/>
        </w:rPr>
        <w:t xml:space="preserve"> </w:t>
      </w:r>
      <w:r>
        <w:rPr>
          <w:color w:val="auto"/>
        </w:rPr>
        <w:t>第10号）</w:t>
      </w:r>
      <w:r>
        <w:rPr>
          <w:rFonts w:hint="eastAsia"/>
          <w:color w:val="auto"/>
        </w:rPr>
        <w:t>的</w:t>
      </w:r>
      <w:r>
        <w:rPr>
          <w:rFonts w:hint="eastAsia" w:hAnsi="宋体"/>
          <w:color w:val="auto"/>
          <w:szCs w:val="21"/>
        </w:rPr>
        <w:t>规定。</w:t>
      </w:r>
      <w:r>
        <w:rPr>
          <w:rFonts w:hint="eastAsia" w:ascii="宋体" w:hAnsi="宋体"/>
          <w:color w:val="auto"/>
        </w:rPr>
        <w:t xml:space="preserve"> </w:t>
      </w:r>
    </w:p>
    <w:p>
      <w:pPr>
        <w:pStyle w:val="79"/>
        <w:spacing w:before="120" w:after="120"/>
        <w:ind w:left="0"/>
        <w:rPr>
          <w:rFonts w:ascii="黑体" w:hAnsi="黑体"/>
          <w:color w:val="auto"/>
        </w:rPr>
      </w:pPr>
      <w:r>
        <w:rPr>
          <w:rFonts w:hint="eastAsia" w:ascii="黑体" w:hAnsi="黑体"/>
          <w:color w:val="auto"/>
        </w:rPr>
        <w:t>3.1.6  冬瓜</w:t>
      </w:r>
    </w:p>
    <w:p>
      <w:pPr>
        <w:pStyle w:val="52"/>
        <w:ind w:firstLine="420"/>
        <w:rPr>
          <w:color w:val="auto"/>
        </w:rPr>
      </w:pPr>
      <w:r>
        <w:rPr>
          <w:rFonts w:hint="eastAsia"/>
          <w:color w:val="auto"/>
        </w:rPr>
        <w:t>应符合</w:t>
      </w:r>
      <w:r>
        <w:rPr>
          <w:rFonts w:hint="eastAsia" w:hAnsi="宋体"/>
          <w:color w:val="auto"/>
        </w:rPr>
        <w:t>GB/T 8854的规定。</w:t>
      </w:r>
    </w:p>
    <w:p>
      <w:pPr>
        <w:pStyle w:val="26"/>
        <w:widowControl/>
        <w:numPr>
          <w:ilvl w:val="1"/>
          <w:numId w:val="3"/>
        </w:numPr>
        <w:spacing w:beforeLines="50" w:afterLines="50"/>
        <w:jc w:val="left"/>
        <w:outlineLvl w:val="3"/>
        <w:rPr>
          <w:rFonts w:ascii="黑体" w:hAnsi="宋体" w:eastAsia="黑体" w:cs="黑体"/>
          <w:color w:val="auto"/>
          <w:szCs w:val="21"/>
        </w:rPr>
      </w:pPr>
      <w:r>
        <w:rPr>
          <w:rFonts w:hint="eastAsia" w:ascii="宋体" w:hAnsi="宋体" w:eastAsia="黑体" w:cs="黑体"/>
          <w:color w:val="auto"/>
          <w:kern w:val="0"/>
          <w:sz w:val="21"/>
          <w:szCs w:val="21"/>
        </w:rPr>
        <w:t xml:space="preserve">  食品添加剂要求</w:t>
      </w:r>
    </w:p>
    <w:p>
      <w:pPr>
        <w:pStyle w:val="26"/>
        <w:widowControl/>
        <w:numPr>
          <w:ilvl w:val="2"/>
          <w:numId w:val="3"/>
        </w:numPr>
        <w:spacing w:beforeLines="50" w:afterLines="50"/>
        <w:jc w:val="left"/>
        <w:outlineLvl w:val="3"/>
        <w:rPr>
          <w:rFonts w:ascii="黑体" w:hAnsi="宋体" w:eastAsia="黑体" w:cs="黑体"/>
          <w:color w:val="auto"/>
          <w:szCs w:val="21"/>
        </w:rPr>
      </w:pPr>
      <w:r>
        <w:rPr>
          <w:rFonts w:hint="eastAsia" w:ascii="宋体" w:hAnsi="宋体" w:eastAsia="黑体" w:cs="黑体"/>
          <w:color w:val="auto"/>
          <w:kern w:val="0"/>
          <w:sz w:val="21"/>
          <w:szCs w:val="21"/>
        </w:rPr>
        <w:t xml:space="preserve">食品添加剂 </w:t>
      </w:r>
      <w:r>
        <w:rPr>
          <w:rFonts w:hint="eastAsia" w:ascii="宋体" w:hAnsi="宋体" w:eastAsia="黑体" w:cs="黑体"/>
          <w:color w:val="auto"/>
          <w:kern w:val="0"/>
          <w:sz w:val="21"/>
          <w:szCs w:val="21"/>
        </w:rPr>
        <w:t>甜菊糖苷</w:t>
      </w:r>
    </w:p>
    <w:p>
      <w:pPr>
        <w:pStyle w:val="26"/>
        <w:widowControl/>
        <w:autoSpaceDE w:val="0"/>
        <w:autoSpaceDN w:val="0"/>
        <w:ind w:firstLine="420" w:firstLineChars="200"/>
        <w:rPr>
          <w:color w:val="auto"/>
          <w:szCs w:val="21"/>
        </w:rPr>
      </w:pPr>
      <w:r>
        <w:rPr>
          <w:rFonts w:hint="eastAsia" w:ascii="宋体"/>
          <w:color w:val="auto"/>
          <w:kern w:val="0"/>
          <w:sz w:val="21"/>
          <w:szCs w:val="20"/>
        </w:rPr>
        <w:t>应符合</w:t>
      </w:r>
      <w:r>
        <w:rPr>
          <w:rFonts w:hint="eastAsia" w:ascii="宋体" w:hAnsi="宋体"/>
          <w:color w:val="auto"/>
          <w:kern w:val="0"/>
          <w:sz w:val="21"/>
          <w:szCs w:val="21"/>
        </w:rPr>
        <w:t>GB 8270</w:t>
      </w:r>
      <w:r>
        <w:rPr>
          <w:rFonts w:hint="eastAsia" w:ascii="宋体"/>
          <w:color w:val="auto"/>
          <w:kern w:val="0"/>
          <w:sz w:val="21"/>
          <w:szCs w:val="21"/>
        </w:rPr>
        <w:t>的规定。</w:t>
      </w:r>
    </w:p>
    <w:p>
      <w:pPr>
        <w:pStyle w:val="26"/>
        <w:widowControl/>
        <w:spacing w:beforeLines="50" w:afterLines="50"/>
        <w:jc w:val="left"/>
        <w:outlineLvl w:val="3"/>
        <w:rPr>
          <w:rFonts w:ascii="黑体" w:hAnsi="宋体" w:eastAsia="黑体" w:cs="黑体"/>
          <w:color w:val="auto"/>
          <w:szCs w:val="21"/>
        </w:rPr>
      </w:pPr>
      <w:r>
        <w:rPr>
          <w:rFonts w:hint="eastAsia" w:ascii="黑体" w:hAnsi="宋体" w:eastAsia="黑体" w:cs="黑体"/>
          <w:color w:val="auto"/>
          <w:kern w:val="0"/>
          <w:sz w:val="21"/>
          <w:szCs w:val="21"/>
        </w:rPr>
        <w:t xml:space="preserve">3,2,2  </w:t>
      </w:r>
      <w:r>
        <w:rPr>
          <w:rFonts w:hint="eastAsia" w:ascii="宋体" w:hAnsi="宋体" w:eastAsia="黑体" w:cs="黑体"/>
          <w:color w:val="auto"/>
          <w:kern w:val="0"/>
          <w:sz w:val="21"/>
          <w:szCs w:val="21"/>
        </w:rPr>
        <w:t xml:space="preserve">食品添加剂 </w:t>
      </w:r>
      <w:r>
        <w:rPr>
          <w:rFonts w:hint="eastAsia" w:ascii="黑体" w:hAnsi="宋体" w:eastAsia="黑体" w:cs="黑体"/>
          <w:color w:val="auto"/>
          <w:kern w:val="0"/>
          <w:sz w:val="21"/>
          <w:szCs w:val="21"/>
        </w:rPr>
        <w:t>木糖醇</w:t>
      </w:r>
    </w:p>
    <w:p>
      <w:pPr>
        <w:pStyle w:val="26"/>
        <w:widowControl/>
        <w:autoSpaceDE w:val="0"/>
        <w:autoSpaceDN w:val="0"/>
        <w:ind w:firstLine="420" w:firstLineChars="200"/>
        <w:rPr>
          <w:rFonts w:ascii="宋体"/>
          <w:color w:val="auto"/>
          <w:kern w:val="0"/>
          <w:sz w:val="21"/>
          <w:szCs w:val="21"/>
        </w:rPr>
      </w:pPr>
      <w:r>
        <w:rPr>
          <w:rFonts w:hint="eastAsia" w:ascii="宋体"/>
          <w:color w:val="auto"/>
          <w:kern w:val="0"/>
          <w:sz w:val="21"/>
          <w:szCs w:val="20"/>
        </w:rPr>
        <w:t>应符合</w:t>
      </w:r>
      <w:r>
        <w:rPr>
          <w:rFonts w:hint="eastAsia" w:ascii="宋体" w:hAnsi="宋体" w:cs="宋体"/>
          <w:color w:val="auto"/>
          <w:szCs w:val="21"/>
        </w:rPr>
        <w:t>GB 1886.234</w:t>
      </w:r>
      <w:r>
        <w:rPr>
          <w:rFonts w:hint="eastAsia" w:ascii="宋体"/>
          <w:color w:val="auto"/>
          <w:kern w:val="0"/>
          <w:sz w:val="21"/>
          <w:szCs w:val="21"/>
        </w:rPr>
        <w:t>的规定。</w:t>
      </w:r>
    </w:p>
    <w:p>
      <w:pPr>
        <w:pStyle w:val="26"/>
        <w:widowControl/>
        <w:autoSpaceDE w:val="0"/>
        <w:autoSpaceDN w:val="0"/>
        <w:spacing w:beforeLines="50" w:afterLines="50"/>
        <w:rPr>
          <w:rFonts w:ascii="黑体" w:hAnsi="黑体" w:eastAsia="黑体"/>
          <w:color w:val="auto"/>
          <w:kern w:val="0"/>
          <w:sz w:val="21"/>
          <w:szCs w:val="21"/>
        </w:rPr>
      </w:pPr>
      <w:r>
        <w:rPr>
          <w:rFonts w:hint="eastAsia" w:ascii="黑体" w:hAnsi="黑体" w:eastAsia="黑体"/>
          <w:color w:val="auto"/>
          <w:kern w:val="0"/>
          <w:sz w:val="21"/>
          <w:szCs w:val="21"/>
        </w:rPr>
        <w:t xml:space="preserve">3.2.3  </w:t>
      </w:r>
      <w:r>
        <w:rPr>
          <w:rFonts w:hint="eastAsia" w:ascii="宋体" w:hAnsi="宋体" w:eastAsia="黑体" w:cs="黑体"/>
          <w:color w:val="auto"/>
          <w:kern w:val="0"/>
          <w:sz w:val="21"/>
          <w:szCs w:val="21"/>
        </w:rPr>
        <w:t xml:space="preserve">食品添加剂 </w:t>
      </w:r>
      <w:r>
        <w:rPr>
          <w:rFonts w:hint="eastAsia" w:ascii="黑体" w:hAnsi="黑体" w:eastAsia="黑体"/>
          <w:color w:val="auto"/>
          <w:kern w:val="0"/>
          <w:sz w:val="21"/>
          <w:szCs w:val="21"/>
        </w:rPr>
        <w:t>微晶纤维素</w:t>
      </w:r>
    </w:p>
    <w:p>
      <w:pPr>
        <w:pStyle w:val="26"/>
        <w:widowControl/>
        <w:autoSpaceDE w:val="0"/>
        <w:autoSpaceDN w:val="0"/>
        <w:ind w:firstLine="408"/>
        <w:rPr>
          <w:rFonts w:ascii="宋体"/>
          <w:color w:val="auto"/>
          <w:kern w:val="0"/>
          <w:sz w:val="21"/>
          <w:szCs w:val="21"/>
        </w:rPr>
      </w:pPr>
      <w:r>
        <w:rPr>
          <w:rFonts w:hint="eastAsia" w:ascii="宋体"/>
          <w:color w:val="auto"/>
          <w:kern w:val="0"/>
          <w:sz w:val="21"/>
          <w:szCs w:val="20"/>
        </w:rPr>
        <w:t>应符合</w:t>
      </w:r>
      <w:r>
        <w:rPr>
          <w:rFonts w:hint="eastAsia" w:ascii="宋体" w:hAnsi="宋体" w:cs="宋体"/>
          <w:color w:val="auto"/>
          <w:szCs w:val="21"/>
        </w:rPr>
        <w:t>GB 1886.103</w:t>
      </w:r>
      <w:r>
        <w:rPr>
          <w:rFonts w:hint="eastAsia" w:ascii="宋体"/>
          <w:color w:val="auto"/>
          <w:kern w:val="0"/>
          <w:sz w:val="21"/>
          <w:szCs w:val="21"/>
        </w:rPr>
        <w:t>的规定。</w:t>
      </w:r>
    </w:p>
    <w:p>
      <w:pPr>
        <w:pStyle w:val="26"/>
        <w:widowControl/>
        <w:autoSpaceDE w:val="0"/>
        <w:autoSpaceDN w:val="0"/>
        <w:spacing w:beforeLines="50" w:afterLines="50"/>
        <w:rPr>
          <w:rFonts w:ascii="黑体" w:hAnsi="黑体" w:eastAsia="黑体" w:cs="新宋体"/>
          <w:color w:val="auto"/>
          <w:sz w:val="21"/>
          <w:szCs w:val="21"/>
          <w:shd w:val="clear" w:color="auto" w:fill="FFFFFF"/>
        </w:rPr>
      </w:pPr>
      <w:r>
        <w:rPr>
          <w:rFonts w:hint="eastAsia" w:ascii="黑体" w:hAnsi="黑体" w:eastAsia="黑体"/>
          <w:color w:val="auto"/>
          <w:kern w:val="0"/>
          <w:sz w:val="21"/>
          <w:szCs w:val="21"/>
        </w:rPr>
        <w:t xml:space="preserve">3.2.4  </w:t>
      </w:r>
      <w:r>
        <w:rPr>
          <w:rFonts w:hint="eastAsia" w:ascii="宋体" w:hAnsi="宋体" w:eastAsia="黑体" w:cs="黑体"/>
          <w:color w:val="auto"/>
          <w:kern w:val="0"/>
          <w:sz w:val="21"/>
          <w:szCs w:val="21"/>
        </w:rPr>
        <w:t xml:space="preserve">食品添加剂 </w:t>
      </w:r>
      <w:r>
        <w:rPr>
          <w:rFonts w:hint="eastAsia" w:ascii="黑体" w:hAnsi="黑体" w:eastAsia="黑体" w:cs="新宋体"/>
          <w:color w:val="auto"/>
          <w:sz w:val="21"/>
          <w:szCs w:val="21"/>
          <w:shd w:val="clear" w:color="auto" w:fill="FFFFFF"/>
        </w:rPr>
        <w:t>硬脂酸镁</w:t>
      </w:r>
    </w:p>
    <w:p>
      <w:pPr>
        <w:pStyle w:val="26"/>
        <w:widowControl/>
        <w:autoSpaceDE w:val="0"/>
        <w:autoSpaceDN w:val="0"/>
        <w:ind w:firstLine="420" w:firstLineChars="200"/>
        <w:rPr>
          <w:rFonts w:ascii="宋体"/>
          <w:color w:val="auto"/>
          <w:kern w:val="0"/>
          <w:sz w:val="21"/>
          <w:szCs w:val="21"/>
        </w:rPr>
      </w:pPr>
      <w:r>
        <w:rPr>
          <w:rFonts w:hint="eastAsia" w:ascii="宋体"/>
          <w:color w:val="auto"/>
          <w:kern w:val="0"/>
          <w:sz w:val="21"/>
          <w:szCs w:val="20"/>
        </w:rPr>
        <w:t>应符合</w:t>
      </w:r>
      <w:r>
        <w:rPr>
          <w:rFonts w:hint="eastAsia" w:ascii="宋体" w:hAnsi="宋体" w:cs="宋体"/>
          <w:color w:val="auto"/>
          <w:szCs w:val="21"/>
        </w:rPr>
        <w:t>GB 1886.91</w:t>
      </w:r>
      <w:r>
        <w:rPr>
          <w:rFonts w:hint="eastAsia" w:ascii="宋体"/>
          <w:color w:val="auto"/>
          <w:kern w:val="0"/>
          <w:sz w:val="21"/>
          <w:szCs w:val="21"/>
        </w:rPr>
        <w:t>的规定。</w:t>
      </w:r>
    </w:p>
    <w:p>
      <w:pPr>
        <w:pStyle w:val="26"/>
        <w:widowControl/>
        <w:autoSpaceDE w:val="0"/>
        <w:autoSpaceDN w:val="0"/>
        <w:spacing w:beforeLines="50" w:afterLines="50"/>
        <w:rPr>
          <w:rFonts w:ascii="黑体" w:hAnsi="黑体" w:eastAsia="黑体" w:cs="新宋体"/>
          <w:color w:val="auto"/>
          <w:sz w:val="21"/>
          <w:szCs w:val="21"/>
          <w:shd w:val="clear" w:color="auto" w:fill="FFFFFF"/>
        </w:rPr>
      </w:pPr>
      <w:r>
        <w:rPr>
          <w:rFonts w:hint="eastAsia" w:ascii="黑体" w:hAnsi="黑体" w:eastAsia="黑体"/>
          <w:color w:val="auto"/>
          <w:kern w:val="0"/>
          <w:sz w:val="21"/>
          <w:szCs w:val="21"/>
        </w:rPr>
        <w:t xml:space="preserve">3.2.5  </w:t>
      </w:r>
      <w:r>
        <w:rPr>
          <w:rFonts w:hint="eastAsia" w:ascii="宋体" w:hAnsi="宋体" w:eastAsia="黑体" w:cs="黑体"/>
          <w:color w:val="auto"/>
          <w:kern w:val="0"/>
          <w:sz w:val="21"/>
          <w:szCs w:val="21"/>
        </w:rPr>
        <w:t xml:space="preserve">食品添加剂 </w:t>
      </w:r>
      <w:r>
        <w:rPr>
          <w:rFonts w:hint="eastAsia" w:ascii="黑体" w:hAnsi="黑体" w:eastAsia="黑体" w:cs="新宋体"/>
          <w:color w:val="auto"/>
          <w:sz w:val="21"/>
          <w:szCs w:val="21"/>
          <w:shd w:val="clear" w:color="auto" w:fill="FFFFFF"/>
        </w:rPr>
        <w:t>羧甲基纤维素钠</w:t>
      </w:r>
    </w:p>
    <w:p>
      <w:pPr>
        <w:pStyle w:val="26"/>
        <w:widowControl/>
        <w:autoSpaceDE w:val="0"/>
        <w:autoSpaceDN w:val="0"/>
        <w:ind w:firstLine="420" w:firstLineChars="200"/>
        <w:rPr>
          <w:color w:val="auto"/>
          <w:szCs w:val="21"/>
        </w:rPr>
      </w:pPr>
      <w:r>
        <w:rPr>
          <w:rFonts w:hint="eastAsia" w:ascii="宋体"/>
          <w:color w:val="auto"/>
          <w:kern w:val="0"/>
          <w:sz w:val="21"/>
          <w:szCs w:val="20"/>
        </w:rPr>
        <w:t>应符合</w:t>
      </w:r>
      <w:r>
        <w:rPr>
          <w:rFonts w:hint="eastAsia" w:ascii="宋体" w:hAnsi="宋体" w:cs="宋体"/>
          <w:color w:val="auto"/>
          <w:szCs w:val="21"/>
        </w:rPr>
        <w:t>GB 1886.232</w:t>
      </w:r>
      <w:r>
        <w:rPr>
          <w:rFonts w:hint="eastAsia" w:ascii="宋体"/>
          <w:color w:val="auto"/>
          <w:kern w:val="0"/>
          <w:sz w:val="21"/>
          <w:szCs w:val="21"/>
        </w:rPr>
        <w:t>的规定。</w:t>
      </w:r>
    </w:p>
    <w:p>
      <w:pPr>
        <w:pStyle w:val="26"/>
        <w:widowControl/>
        <w:numPr>
          <w:ilvl w:val="1"/>
          <w:numId w:val="3"/>
        </w:numPr>
        <w:tabs>
          <w:tab w:val="left" w:pos="0"/>
        </w:tabs>
        <w:spacing w:beforeLines="50" w:afterLines="50"/>
        <w:jc w:val="left"/>
        <w:outlineLvl w:val="2"/>
        <w:rPr>
          <w:color w:val="auto"/>
        </w:rPr>
      </w:pPr>
      <w:r>
        <w:rPr>
          <w:rFonts w:hint="eastAsia" w:eastAsia="黑体" w:cs="黑体"/>
          <w:color w:val="auto"/>
          <w:kern w:val="0"/>
          <w:sz w:val="21"/>
          <w:szCs w:val="20"/>
        </w:rPr>
        <w:t xml:space="preserve">  感官要求</w:t>
      </w:r>
    </w:p>
    <w:p>
      <w:pPr>
        <w:pStyle w:val="26"/>
        <w:widowControl/>
        <w:autoSpaceDE w:val="0"/>
        <w:autoSpaceDN w:val="0"/>
        <w:ind w:firstLine="420" w:firstLineChars="200"/>
        <w:rPr>
          <w:rFonts w:ascii="宋体" w:cs="宋体"/>
          <w:color w:val="auto"/>
          <w:kern w:val="0"/>
          <w:sz w:val="21"/>
          <w:szCs w:val="20"/>
        </w:rPr>
      </w:pPr>
      <w:r>
        <w:rPr>
          <w:rFonts w:hint="eastAsia" w:ascii="宋体" w:cs="宋体"/>
          <w:color w:val="auto"/>
          <w:kern w:val="0"/>
          <w:sz w:val="21"/>
          <w:szCs w:val="20"/>
        </w:rPr>
        <w:t xml:space="preserve">应符合表1的规定。       </w:t>
      </w:r>
    </w:p>
    <w:p>
      <w:pPr>
        <w:pStyle w:val="26"/>
        <w:widowControl/>
        <w:autoSpaceDE w:val="0"/>
        <w:autoSpaceDN w:val="0"/>
        <w:ind w:firstLine="420" w:firstLineChars="200"/>
        <w:rPr>
          <w:rFonts w:ascii="宋体" w:cs="宋体"/>
          <w:color w:val="auto"/>
          <w:kern w:val="0"/>
          <w:sz w:val="21"/>
          <w:szCs w:val="20"/>
        </w:rPr>
      </w:pPr>
    </w:p>
    <w:p>
      <w:pPr>
        <w:pStyle w:val="26"/>
        <w:widowControl/>
        <w:autoSpaceDE w:val="0"/>
        <w:autoSpaceDN w:val="0"/>
        <w:ind w:firstLine="420" w:firstLineChars="200"/>
        <w:rPr>
          <w:rFonts w:ascii="宋体" w:cs="宋体"/>
          <w:color w:val="auto"/>
          <w:kern w:val="0"/>
          <w:sz w:val="21"/>
          <w:szCs w:val="20"/>
        </w:rPr>
      </w:pPr>
    </w:p>
    <w:p>
      <w:pPr>
        <w:pStyle w:val="26"/>
        <w:widowControl/>
        <w:autoSpaceDE w:val="0"/>
        <w:autoSpaceDN w:val="0"/>
        <w:ind w:firstLine="420" w:firstLineChars="200"/>
        <w:rPr>
          <w:color w:val="auto"/>
        </w:rPr>
      </w:pPr>
      <w:r>
        <w:rPr>
          <w:rFonts w:hint="eastAsia" w:ascii="宋体" w:cs="宋体"/>
          <w:color w:val="auto"/>
          <w:kern w:val="0"/>
          <w:sz w:val="21"/>
          <w:szCs w:val="20"/>
        </w:rPr>
        <w:t xml:space="preserve">        </w:t>
      </w:r>
    </w:p>
    <w:p>
      <w:pPr>
        <w:pStyle w:val="26"/>
        <w:widowControl/>
        <w:autoSpaceDE w:val="0"/>
        <w:autoSpaceDN w:val="0"/>
        <w:spacing w:beforeLines="50" w:afterLines="50"/>
        <w:ind w:firstLine="420" w:firstLineChars="200"/>
        <w:jc w:val="center"/>
        <w:rPr>
          <w:rFonts w:ascii="黑体" w:hAnsi="宋体" w:eastAsia="黑体" w:cs="黑体"/>
          <w:color w:val="auto"/>
          <w:kern w:val="0"/>
          <w:sz w:val="21"/>
          <w:szCs w:val="21"/>
        </w:rPr>
      </w:pPr>
      <w:r>
        <w:rPr>
          <w:rFonts w:hint="eastAsia" w:ascii="黑体" w:hAnsi="宋体" w:eastAsia="黑体" w:cs="黑体"/>
          <w:color w:val="auto"/>
          <w:kern w:val="0"/>
          <w:sz w:val="21"/>
          <w:szCs w:val="21"/>
        </w:rPr>
        <w:t>表1</w:t>
      </w:r>
    </w:p>
    <w:tbl>
      <w:tblPr>
        <w:tblStyle w:val="28"/>
        <w:tblW w:w="8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4536"/>
        <w:gridCol w:w="2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color w:val="auto"/>
                <w:kern w:val="0"/>
                <w:sz w:val="18"/>
                <w:szCs w:val="18"/>
              </w:rPr>
            </w:pPr>
            <w:r>
              <w:rPr>
                <w:rFonts w:hint="eastAsia" w:ascii="宋体" w:hAnsi="宋体" w:cs="宋体"/>
                <w:color w:val="auto"/>
                <w:kern w:val="0"/>
                <w:sz w:val="18"/>
                <w:szCs w:val="18"/>
              </w:rPr>
              <w:t>项  目</w:t>
            </w:r>
          </w:p>
        </w:tc>
        <w:tc>
          <w:tcPr>
            <w:tcW w:w="453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color w:val="auto"/>
                <w:kern w:val="0"/>
                <w:sz w:val="18"/>
                <w:szCs w:val="18"/>
              </w:rPr>
            </w:pPr>
            <w:r>
              <w:rPr>
                <w:rFonts w:hint="eastAsia" w:ascii="宋体" w:hAnsi="宋体" w:cs="宋体"/>
                <w:color w:val="auto"/>
                <w:kern w:val="0"/>
                <w:sz w:val="18"/>
                <w:szCs w:val="18"/>
              </w:rPr>
              <w:t>要  求</w:t>
            </w:r>
          </w:p>
        </w:tc>
        <w:tc>
          <w:tcPr>
            <w:tcW w:w="247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color w:val="auto"/>
                <w:kern w:val="0"/>
                <w:sz w:val="18"/>
                <w:szCs w:val="18"/>
              </w:rPr>
            </w:pPr>
            <w:r>
              <w:rPr>
                <w:rFonts w:hint="eastAsia" w:ascii="宋体" w:hAnsi="宋体" w:cs="宋体"/>
                <w:color w:val="auto"/>
                <w:kern w:val="0"/>
                <w:sz w:val="18"/>
                <w:szCs w:val="18"/>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color w:val="auto"/>
                <w:kern w:val="0"/>
                <w:sz w:val="18"/>
                <w:szCs w:val="18"/>
              </w:rPr>
            </w:pPr>
            <w:r>
              <w:rPr>
                <w:rFonts w:hint="eastAsia" w:ascii="宋体" w:hAnsi="宋体" w:cs="宋体"/>
                <w:color w:val="auto"/>
                <w:kern w:val="0"/>
                <w:sz w:val="18"/>
                <w:szCs w:val="18"/>
              </w:rPr>
              <w:t>色  泽</w:t>
            </w:r>
          </w:p>
        </w:tc>
        <w:tc>
          <w:tcPr>
            <w:tcW w:w="4536"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color w:val="auto"/>
                <w:kern w:val="0"/>
                <w:sz w:val="18"/>
                <w:szCs w:val="18"/>
              </w:rPr>
            </w:pPr>
            <w:r>
              <w:rPr>
                <w:rFonts w:hint="eastAsia" w:ascii="宋体" w:hAnsi="宋体" w:cs="宋体"/>
                <w:color w:val="auto"/>
                <w:kern w:val="0"/>
                <w:sz w:val="18"/>
                <w:szCs w:val="18"/>
              </w:rPr>
              <w:t>剥开包衣，呈现灰黄色至棕色，色泽均匀</w:t>
            </w:r>
          </w:p>
        </w:tc>
        <w:tc>
          <w:tcPr>
            <w:tcW w:w="2472" w:type="dxa"/>
            <w:vMerge w:val="restart"/>
            <w:tcBorders>
              <w:top w:val="single" w:color="auto" w:sz="4" w:space="0"/>
              <w:left w:val="single" w:color="auto" w:sz="4" w:space="0"/>
              <w:right w:val="single" w:color="auto" w:sz="4" w:space="0"/>
            </w:tcBorders>
            <w:vAlign w:val="center"/>
          </w:tcPr>
          <w:p>
            <w:pPr>
              <w:jc w:val="left"/>
              <w:rPr>
                <w:color w:val="auto"/>
                <w:sz w:val="18"/>
                <w:szCs w:val="18"/>
              </w:rPr>
            </w:pPr>
            <w:r>
              <w:rPr>
                <w:rFonts w:hint="eastAsia" w:ascii="宋体" w:hAnsi="宋体"/>
                <w:color w:val="auto"/>
                <w:kern w:val="21"/>
                <w:sz w:val="18"/>
                <w:szCs w:val="18"/>
              </w:rPr>
              <w:t>取适量试样置于洁净的白色盘中，在自然光线下，观察色泽、性态和杂质，鉴别气味，品尝滋味。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color w:val="auto"/>
                <w:kern w:val="0"/>
                <w:sz w:val="18"/>
                <w:szCs w:val="18"/>
              </w:rPr>
            </w:pPr>
            <w:r>
              <w:rPr>
                <w:rFonts w:hint="eastAsia" w:ascii="宋体" w:hAnsi="宋体" w:cs="宋体"/>
                <w:color w:val="auto"/>
                <w:kern w:val="0"/>
                <w:sz w:val="18"/>
                <w:szCs w:val="18"/>
              </w:rPr>
              <w:t>性  状</w:t>
            </w:r>
          </w:p>
        </w:tc>
        <w:tc>
          <w:tcPr>
            <w:tcW w:w="4536"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color w:val="auto"/>
                <w:kern w:val="0"/>
                <w:sz w:val="18"/>
                <w:szCs w:val="18"/>
              </w:rPr>
            </w:pPr>
            <w:r>
              <w:rPr>
                <w:rFonts w:hint="eastAsia" w:ascii="宋体" w:hAnsi="宋体" w:cs="宋体"/>
                <w:color w:val="auto"/>
                <w:kern w:val="0"/>
                <w:sz w:val="18"/>
                <w:szCs w:val="18"/>
              </w:rPr>
              <w:t>呈片状，大小一致，坚实，不松散，剖面紧密</w:t>
            </w:r>
          </w:p>
        </w:tc>
        <w:tc>
          <w:tcPr>
            <w:tcW w:w="2472" w:type="dxa"/>
            <w:vMerge w:val="continue"/>
            <w:tcBorders>
              <w:left w:val="single" w:color="auto" w:sz="4" w:space="0"/>
              <w:right w:val="single" w:color="auto" w:sz="4" w:space="0"/>
            </w:tcBorders>
            <w:vAlign w:val="center"/>
          </w:tcPr>
          <w:p>
            <w:pPr>
              <w:spacing w:line="360" w:lineRule="exact"/>
              <w:jc w:val="center"/>
              <w:rPr>
                <w:rFonts w:ascii="宋体" w:hAnsi="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color w:val="auto"/>
                <w:kern w:val="0"/>
                <w:sz w:val="18"/>
                <w:szCs w:val="18"/>
              </w:rPr>
            </w:pPr>
            <w:r>
              <w:rPr>
                <w:rFonts w:hint="eastAsia" w:ascii="宋体" w:hAnsi="宋体" w:cs="宋体"/>
                <w:color w:val="auto"/>
                <w:kern w:val="0"/>
                <w:sz w:val="18"/>
                <w:szCs w:val="18"/>
              </w:rPr>
              <w:t>滋味、气味</w:t>
            </w:r>
          </w:p>
        </w:tc>
        <w:tc>
          <w:tcPr>
            <w:tcW w:w="4536"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color w:val="auto"/>
                <w:kern w:val="0"/>
                <w:sz w:val="18"/>
                <w:szCs w:val="18"/>
              </w:rPr>
            </w:pPr>
            <w:r>
              <w:rPr>
                <w:rFonts w:hint="eastAsia" w:ascii="宋体" w:hAnsi="宋体" w:cs="宋体"/>
                <w:color w:val="auto"/>
                <w:kern w:val="0"/>
                <w:sz w:val="18"/>
                <w:szCs w:val="18"/>
              </w:rPr>
              <w:t>具有本品应有的滋味和气味，微甜，无异味</w:t>
            </w:r>
          </w:p>
        </w:tc>
        <w:tc>
          <w:tcPr>
            <w:tcW w:w="2472" w:type="dxa"/>
            <w:vMerge w:val="continue"/>
            <w:tcBorders>
              <w:left w:val="single" w:color="auto" w:sz="4" w:space="0"/>
              <w:right w:val="single" w:color="auto" w:sz="4" w:space="0"/>
            </w:tcBorders>
            <w:vAlign w:val="center"/>
          </w:tcPr>
          <w:p>
            <w:pPr>
              <w:spacing w:line="360" w:lineRule="exact"/>
              <w:jc w:val="center"/>
              <w:rPr>
                <w:rFonts w:ascii="宋体" w:hAnsi="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color w:val="auto"/>
                <w:kern w:val="0"/>
                <w:sz w:val="18"/>
                <w:szCs w:val="18"/>
              </w:rPr>
            </w:pPr>
            <w:r>
              <w:rPr>
                <w:rFonts w:hint="eastAsia" w:ascii="宋体" w:hAnsi="宋体" w:cs="宋体"/>
                <w:color w:val="auto"/>
                <w:kern w:val="0"/>
                <w:sz w:val="18"/>
                <w:szCs w:val="18"/>
              </w:rPr>
              <w:t>杂  质</w:t>
            </w:r>
          </w:p>
        </w:tc>
        <w:tc>
          <w:tcPr>
            <w:tcW w:w="4536"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color w:val="auto"/>
                <w:kern w:val="0"/>
                <w:sz w:val="18"/>
                <w:szCs w:val="18"/>
              </w:rPr>
            </w:pPr>
            <w:r>
              <w:rPr>
                <w:rFonts w:hint="eastAsia" w:ascii="宋体" w:hAnsi="宋体" w:cs="宋体"/>
                <w:color w:val="auto"/>
                <w:kern w:val="0"/>
                <w:sz w:val="18"/>
                <w:szCs w:val="18"/>
              </w:rPr>
              <w:t>无正常视力可见外来杂质</w:t>
            </w:r>
          </w:p>
        </w:tc>
        <w:tc>
          <w:tcPr>
            <w:tcW w:w="2472" w:type="dxa"/>
            <w:vMerge w:val="continue"/>
            <w:tcBorders>
              <w:left w:val="single" w:color="auto" w:sz="4" w:space="0"/>
              <w:bottom w:val="single" w:color="auto" w:sz="4" w:space="0"/>
              <w:right w:val="single" w:color="auto" w:sz="4" w:space="0"/>
            </w:tcBorders>
            <w:vAlign w:val="center"/>
          </w:tcPr>
          <w:p>
            <w:pPr>
              <w:spacing w:line="360" w:lineRule="exact"/>
              <w:jc w:val="center"/>
              <w:rPr>
                <w:rFonts w:ascii="宋体" w:hAnsi="宋体" w:cs="宋体"/>
                <w:color w:val="auto"/>
                <w:kern w:val="0"/>
                <w:sz w:val="18"/>
                <w:szCs w:val="18"/>
              </w:rPr>
            </w:pPr>
          </w:p>
        </w:tc>
      </w:tr>
    </w:tbl>
    <w:p>
      <w:pPr>
        <w:pStyle w:val="26"/>
        <w:widowControl/>
        <w:numPr>
          <w:ilvl w:val="1"/>
          <w:numId w:val="3"/>
        </w:numPr>
        <w:tabs>
          <w:tab w:val="left" w:pos="0"/>
        </w:tabs>
        <w:spacing w:beforeLines="50" w:afterLines="50"/>
        <w:jc w:val="left"/>
        <w:outlineLvl w:val="2"/>
        <w:rPr>
          <w:color w:val="auto"/>
        </w:rPr>
      </w:pPr>
      <w:r>
        <w:rPr>
          <w:rFonts w:hint="eastAsia" w:eastAsia="黑体" w:cs="黑体"/>
          <w:color w:val="auto"/>
          <w:kern w:val="0"/>
          <w:sz w:val="21"/>
          <w:szCs w:val="20"/>
        </w:rPr>
        <w:t xml:space="preserve">  理化指标</w:t>
      </w:r>
    </w:p>
    <w:p>
      <w:pPr>
        <w:pStyle w:val="26"/>
        <w:widowControl/>
        <w:autoSpaceDE w:val="0"/>
        <w:autoSpaceDN w:val="0"/>
        <w:ind w:firstLine="420" w:firstLineChars="200"/>
        <w:rPr>
          <w:color w:val="auto"/>
        </w:rPr>
      </w:pPr>
      <w:r>
        <w:rPr>
          <w:rFonts w:hint="eastAsia" w:ascii="宋体" w:cs="宋体"/>
          <w:color w:val="auto"/>
          <w:kern w:val="0"/>
          <w:sz w:val="21"/>
          <w:szCs w:val="20"/>
        </w:rPr>
        <w:t xml:space="preserve">应符合表2的规定。                 </w:t>
      </w:r>
    </w:p>
    <w:p>
      <w:pPr>
        <w:pStyle w:val="26"/>
        <w:widowControl/>
        <w:autoSpaceDE w:val="0"/>
        <w:autoSpaceDN w:val="0"/>
        <w:spacing w:beforeLines="50" w:afterLines="50"/>
        <w:ind w:firstLine="420" w:firstLineChars="200"/>
        <w:jc w:val="center"/>
        <w:rPr>
          <w:rFonts w:ascii="黑体" w:hAnsi="宋体" w:eastAsia="黑体" w:cs="黑体"/>
          <w:color w:val="auto"/>
          <w:kern w:val="0"/>
          <w:sz w:val="21"/>
          <w:szCs w:val="21"/>
        </w:rPr>
      </w:pPr>
      <w:r>
        <w:rPr>
          <w:rFonts w:hint="eastAsia" w:ascii="黑体" w:hAnsi="宋体" w:eastAsia="黑体" w:cs="黑体"/>
          <w:color w:val="auto"/>
          <w:kern w:val="0"/>
          <w:sz w:val="21"/>
          <w:szCs w:val="21"/>
        </w:rPr>
        <w:t>表2</w:t>
      </w:r>
    </w:p>
    <w:tbl>
      <w:tblPr>
        <w:tblStyle w:val="28"/>
        <w:tblW w:w="88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1"/>
        <w:gridCol w:w="2976"/>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4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color w:val="auto"/>
                <w:kern w:val="0"/>
                <w:sz w:val="18"/>
                <w:szCs w:val="18"/>
              </w:rPr>
            </w:pPr>
            <w:r>
              <w:rPr>
                <w:rFonts w:hint="eastAsia" w:ascii="宋体" w:hAnsi="宋体" w:cs="宋体"/>
                <w:color w:val="auto"/>
                <w:kern w:val="0"/>
                <w:sz w:val="18"/>
                <w:szCs w:val="18"/>
              </w:rPr>
              <w:t>项  目</w:t>
            </w:r>
          </w:p>
        </w:tc>
        <w:tc>
          <w:tcPr>
            <w:tcW w:w="297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color w:val="auto"/>
                <w:kern w:val="0"/>
                <w:sz w:val="18"/>
                <w:szCs w:val="18"/>
              </w:rPr>
            </w:pPr>
            <w:r>
              <w:rPr>
                <w:rFonts w:hint="eastAsia" w:ascii="宋体" w:hAnsi="宋体" w:cs="宋体"/>
                <w:color w:val="auto"/>
                <w:kern w:val="0"/>
                <w:sz w:val="18"/>
                <w:szCs w:val="18"/>
              </w:rPr>
              <w:t>指  标</w:t>
            </w:r>
          </w:p>
        </w:tc>
        <w:tc>
          <w:tcPr>
            <w:tcW w:w="297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color w:val="auto"/>
                <w:kern w:val="0"/>
                <w:sz w:val="18"/>
                <w:szCs w:val="18"/>
              </w:rPr>
            </w:pPr>
            <w:r>
              <w:rPr>
                <w:rFonts w:hint="eastAsia" w:ascii="宋体" w:hAnsi="宋体" w:cs="宋体"/>
                <w:color w:val="auto"/>
                <w:kern w:val="0"/>
                <w:sz w:val="18"/>
                <w:szCs w:val="18"/>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41"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color w:val="auto"/>
                <w:kern w:val="0"/>
                <w:sz w:val="18"/>
                <w:szCs w:val="18"/>
              </w:rPr>
            </w:pPr>
            <w:r>
              <w:rPr>
                <w:rFonts w:hint="eastAsia" w:ascii="宋体" w:hAnsi="宋体" w:cs="宋体"/>
                <w:color w:val="auto"/>
                <w:kern w:val="0"/>
                <w:sz w:val="18"/>
                <w:szCs w:val="18"/>
              </w:rPr>
              <w:t>干燥失重/（g/100g）</w:t>
            </w:r>
          </w:p>
        </w:tc>
        <w:tc>
          <w:tcPr>
            <w:tcW w:w="297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Arial"/>
                <w:color w:val="auto"/>
                <w:kern w:val="0"/>
                <w:sz w:val="18"/>
                <w:szCs w:val="18"/>
              </w:rPr>
            </w:pPr>
            <w:r>
              <w:rPr>
                <w:rFonts w:hint="eastAsia" w:ascii="宋体" w:hAnsi="宋体" w:cs="Arial"/>
                <w:color w:val="auto"/>
                <w:kern w:val="0"/>
                <w:sz w:val="18"/>
                <w:szCs w:val="18"/>
              </w:rPr>
              <w:t>≤ 5</w:t>
            </w:r>
            <w:r>
              <w:rPr>
                <w:rFonts w:hint="eastAsia" w:ascii="宋体" w:hAnsi="宋体" w:cs="宋体"/>
                <w:color w:val="auto"/>
                <w:sz w:val="18"/>
                <w:szCs w:val="18"/>
              </w:rPr>
              <w:t>.0</w:t>
            </w:r>
          </w:p>
        </w:tc>
        <w:tc>
          <w:tcPr>
            <w:tcW w:w="297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Arial"/>
                <w:color w:val="auto"/>
                <w:kern w:val="0"/>
                <w:sz w:val="18"/>
                <w:szCs w:val="18"/>
              </w:rPr>
            </w:pPr>
            <w:r>
              <w:rPr>
                <w:rFonts w:hint="eastAsia" w:ascii="宋体" w:hAnsi="宋体" w:cs="Arial"/>
                <w:color w:val="auto"/>
                <w:kern w:val="0"/>
                <w:sz w:val="18"/>
                <w:szCs w:val="18"/>
              </w:rPr>
              <w:t>GB 5009.3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41"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color w:val="auto"/>
                <w:kern w:val="0"/>
                <w:sz w:val="18"/>
                <w:szCs w:val="18"/>
              </w:rPr>
            </w:pPr>
            <w:r>
              <w:rPr>
                <w:rFonts w:hint="eastAsia" w:ascii="宋体" w:hAnsi="宋体" w:cs="宋体"/>
                <w:color w:val="auto"/>
                <w:kern w:val="0"/>
                <w:sz w:val="18"/>
                <w:szCs w:val="18"/>
              </w:rPr>
              <w:t>铅（以Pb计）/（mg/kg）</w:t>
            </w:r>
          </w:p>
        </w:tc>
        <w:tc>
          <w:tcPr>
            <w:tcW w:w="29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Arial"/>
                <w:color w:val="auto"/>
                <w:kern w:val="0"/>
                <w:sz w:val="18"/>
                <w:szCs w:val="18"/>
              </w:rPr>
            </w:pPr>
            <w:r>
              <w:rPr>
                <w:rFonts w:hint="eastAsia" w:ascii="宋体" w:hAnsi="宋体" w:cs="Arial"/>
                <w:color w:val="auto"/>
                <w:kern w:val="0"/>
                <w:sz w:val="18"/>
                <w:szCs w:val="18"/>
              </w:rPr>
              <w:t>≤ 0.48</w:t>
            </w:r>
          </w:p>
        </w:tc>
        <w:tc>
          <w:tcPr>
            <w:tcW w:w="29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Arial"/>
                <w:color w:val="auto"/>
                <w:kern w:val="0"/>
                <w:sz w:val="18"/>
                <w:szCs w:val="18"/>
              </w:rPr>
            </w:pPr>
            <w:r>
              <w:rPr>
                <w:rFonts w:hint="eastAsia" w:ascii="宋体" w:hAnsi="宋体" w:cs="Arial"/>
                <w:color w:val="auto"/>
                <w:kern w:val="0"/>
                <w:sz w:val="18"/>
                <w:szCs w:val="18"/>
              </w:rPr>
              <w:t>GB 5009.12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4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color w:val="auto"/>
                <w:kern w:val="0"/>
                <w:sz w:val="18"/>
                <w:szCs w:val="18"/>
              </w:rPr>
            </w:pPr>
            <w:r>
              <w:rPr>
                <w:rFonts w:hint="eastAsia" w:ascii="宋体" w:hAnsi="宋体" w:cs="宋体"/>
                <w:color w:val="auto"/>
                <w:sz w:val="18"/>
                <w:szCs w:val="18"/>
              </w:rPr>
              <w:t>二氧化硫残留量/（g/kg）</w:t>
            </w:r>
          </w:p>
        </w:tc>
        <w:tc>
          <w:tcPr>
            <w:tcW w:w="29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Arial"/>
                <w:color w:val="auto"/>
                <w:kern w:val="0"/>
                <w:sz w:val="18"/>
                <w:szCs w:val="18"/>
              </w:rPr>
            </w:pPr>
            <w:r>
              <w:rPr>
                <w:rFonts w:hint="eastAsia" w:ascii="宋体" w:hAnsi="宋体" w:cs="宋体"/>
                <w:color w:val="auto"/>
                <w:sz w:val="18"/>
                <w:szCs w:val="18"/>
              </w:rPr>
              <w:t>≤ 0.1</w:t>
            </w:r>
          </w:p>
        </w:tc>
        <w:tc>
          <w:tcPr>
            <w:tcW w:w="29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18"/>
                <w:szCs w:val="18"/>
              </w:rPr>
            </w:pPr>
            <w:r>
              <w:rPr>
                <w:rFonts w:hint="eastAsia" w:ascii="宋体" w:hAnsi="宋体" w:cs="宋体"/>
                <w:color w:val="auto"/>
                <w:sz w:val="18"/>
                <w:szCs w:val="18"/>
              </w:rPr>
              <w:t>GB 5009.34</w:t>
            </w:r>
          </w:p>
        </w:tc>
      </w:tr>
    </w:tbl>
    <w:p>
      <w:pPr>
        <w:pStyle w:val="26"/>
        <w:widowControl/>
        <w:numPr>
          <w:ilvl w:val="1"/>
          <w:numId w:val="3"/>
        </w:numPr>
        <w:tabs>
          <w:tab w:val="left" w:pos="0"/>
        </w:tabs>
        <w:spacing w:beforeLines="50" w:afterLines="50"/>
        <w:jc w:val="left"/>
        <w:outlineLvl w:val="2"/>
        <w:rPr>
          <w:color w:val="auto"/>
        </w:rPr>
      </w:pPr>
      <w:r>
        <w:rPr>
          <w:rFonts w:hint="eastAsia" w:eastAsia="黑体" w:cs="黑体"/>
          <w:color w:val="auto"/>
          <w:kern w:val="0"/>
          <w:sz w:val="21"/>
          <w:szCs w:val="20"/>
        </w:rPr>
        <w:t xml:space="preserve">  微生物指标</w:t>
      </w:r>
    </w:p>
    <w:p>
      <w:pPr>
        <w:pStyle w:val="26"/>
        <w:widowControl/>
        <w:autoSpaceDE w:val="0"/>
        <w:autoSpaceDN w:val="0"/>
        <w:ind w:firstLine="420" w:firstLineChars="200"/>
        <w:rPr>
          <w:color w:val="auto"/>
          <w:sz w:val="18"/>
          <w:szCs w:val="18"/>
        </w:rPr>
      </w:pPr>
      <w:r>
        <w:rPr>
          <w:rFonts w:hint="eastAsia" w:ascii="宋体" w:cs="宋体"/>
          <w:color w:val="auto"/>
          <w:kern w:val="0"/>
          <w:sz w:val="21"/>
          <w:szCs w:val="20"/>
        </w:rPr>
        <w:t>应符合表3的规定。</w:t>
      </w:r>
      <w:r>
        <w:rPr>
          <w:rFonts w:hint="eastAsia" w:ascii="宋体" w:cs="宋体"/>
          <w:color w:val="auto"/>
          <w:kern w:val="0"/>
          <w:sz w:val="18"/>
          <w:szCs w:val="18"/>
        </w:rPr>
        <w:tab/>
      </w:r>
    </w:p>
    <w:p>
      <w:pPr>
        <w:pStyle w:val="26"/>
        <w:widowControl/>
        <w:autoSpaceDE w:val="0"/>
        <w:autoSpaceDN w:val="0"/>
        <w:spacing w:beforeLines="50" w:afterLines="50"/>
        <w:ind w:firstLine="420" w:firstLineChars="200"/>
        <w:jc w:val="center"/>
        <w:rPr>
          <w:rFonts w:ascii="黑体" w:hAnsi="宋体" w:eastAsia="黑体" w:cs="黑体"/>
          <w:color w:val="auto"/>
          <w:kern w:val="0"/>
          <w:sz w:val="21"/>
          <w:szCs w:val="21"/>
        </w:rPr>
      </w:pPr>
      <w:bookmarkStart w:id="3" w:name="OLE_LINK2"/>
      <w:r>
        <w:rPr>
          <w:rFonts w:hint="eastAsia" w:ascii="黑体" w:hAnsi="宋体" w:eastAsia="黑体" w:cs="黑体"/>
          <w:color w:val="auto"/>
          <w:kern w:val="0"/>
          <w:sz w:val="21"/>
          <w:szCs w:val="21"/>
        </w:rPr>
        <w:t>表3</w:t>
      </w:r>
      <w:bookmarkEnd w:id="3"/>
    </w:p>
    <w:tbl>
      <w:tblPr>
        <w:tblStyle w:val="28"/>
        <w:tblW w:w="8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6"/>
        <w:gridCol w:w="883"/>
        <w:gridCol w:w="883"/>
        <w:gridCol w:w="883"/>
        <w:gridCol w:w="883"/>
        <w:gridCol w:w="2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96" w:type="dxa"/>
            <w:vMerge w:val="restart"/>
            <w:vAlign w:val="center"/>
          </w:tcPr>
          <w:p>
            <w:pPr>
              <w:pStyle w:val="52"/>
              <w:ind w:firstLine="0" w:firstLineChars="0"/>
              <w:jc w:val="center"/>
              <w:rPr>
                <w:rFonts w:cs="宋体"/>
                <w:color w:val="auto"/>
                <w:sz w:val="18"/>
                <w:szCs w:val="18"/>
              </w:rPr>
            </w:pPr>
            <w:r>
              <w:rPr>
                <w:rFonts w:hint="eastAsia" w:cs="宋体"/>
                <w:color w:val="auto"/>
                <w:sz w:val="18"/>
                <w:szCs w:val="18"/>
              </w:rPr>
              <w:t>项   目</w:t>
            </w:r>
          </w:p>
        </w:tc>
        <w:tc>
          <w:tcPr>
            <w:tcW w:w="3532" w:type="dxa"/>
            <w:gridSpan w:val="4"/>
            <w:vAlign w:val="center"/>
          </w:tcPr>
          <w:p>
            <w:pPr>
              <w:pStyle w:val="52"/>
              <w:ind w:firstLine="0" w:firstLineChars="0"/>
              <w:jc w:val="center"/>
              <w:rPr>
                <w:rFonts w:cs="宋体"/>
                <w:color w:val="auto"/>
                <w:sz w:val="18"/>
                <w:szCs w:val="18"/>
              </w:rPr>
            </w:pPr>
            <w:r>
              <w:rPr>
                <w:rFonts w:hint="eastAsia" w:cs="宋体"/>
                <w:color w:val="auto"/>
                <w:sz w:val="18"/>
                <w:szCs w:val="18"/>
              </w:rPr>
              <w:t>采样方案</w:t>
            </w:r>
            <w:r>
              <w:rPr>
                <w:rFonts w:hint="eastAsia" w:cs="宋体"/>
                <w:color w:val="auto"/>
                <w:sz w:val="18"/>
                <w:szCs w:val="18"/>
                <w:vertAlign w:val="superscript"/>
              </w:rPr>
              <w:t>a</w:t>
            </w:r>
            <w:r>
              <w:rPr>
                <w:rFonts w:hint="eastAsia" w:cs="宋体"/>
                <w:color w:val="auto"/>
                <w:sz w:val="18"/>
                <w:szCs w:val="18"/>
              </w:rPr>
              <w:t>及限量</w:t>
            </w:r>
          </w:p>
        </w:tc>
        <w:tc>
          <w:tcPr>
            <w:tcW w:w="2548" w:type="dxa"/>
            <w:vMerge w:val="restart"/>
            <w:vAlign w:val="center"/>
          </w:tcPr>
          <w:p>
            <w:pPr>
              <w:pStyle w:val="52"/>
              <w:ind w:firstLine="0" w:firstLineChars="0"/>
              <w:jc w:val="center"/>
              <w:rPr>
                <w:rFonts w:cs="宋体"/>
                <w:color w:val="auto"/>
                <w:sz w:val="18"/>
                <w:szCs w:val="18"/>
              </w:rPr>
            </w:pPr>
            <w:r>
              <w:rPr>
                <w:rFonts w:hint="eastAsia" w:cs="宋体"/>
                <w:color w:val="auto"/>
                <w:sz w:val="18"/>
                <w:szCs w:val="18"/>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96" w:type="dxa"/>
            <w:vMerge w:val="continue"/>
            <w:vAlign w:val="center"/>
          </w:tcPr>
          <w:p>
            <w:pPr>
              <w:pStyle w:val="52"/>
              <w:ind w:firstLine="0" w:firstLineChars="0"/>
              <w:jc w:val="center"/>
              <w:rPr>
                <w:rFonts w:cs="宋体"/>
                <w:color w:val="auto"/>
                <w:sz w:val="18"/>
                <w:szCs w:val="18"/>
              </w:rPr>
            </w:pPr>
          </w:p>
        </w:tc>
        <w:tc>
          <w:tcPr>
            <w:tcW w:w="883" w:type="dxa"/>
            <w:vAlign w:val="center"/>
          </w:tcPr>
          <w:p>
            <w:pPr>
              <w:pStyle w:val="52"/>
              <w:ind w:firstLine="0" w:firstLineChars="0"/>
              <w:jc w:val="center"/>
              <w:rPr>
                <w:rFonts w:cs="宋体"/>
                <w:color w:val="auto"/>
                <w:sz w:val="18"/>
                <w:szCs w:val="18"/>
              </w:rPr>
            </w:pPr>
            <w:r>
              <w:rPr>
                <w:rFonts w:hint="eastAsia" w:cs="宋体"/>
                <w:color w:val="auto"/>
                <w:sz w:val="18"/>
                <w:szCs w:val="18"/>
              </w:rPr>
              <w:t>n</w:t>
            </w:r>
          </w:p>
        </w:tc>
        <w:tc>
          <w:tcPr>
            <w:tcW w:w="883" w:type="dxa"/>
            <w:vAlign w:val="center"/>
          </w:tcPr>
          <w:p>
            <w:pPr>
              <w:pStyle w:val="52"/>
              <w:ind w:firstLine="0" w:firstLineChars="0"/>
              <w:jc w:val="center"/>
              <w:rPr>
                <w:rFonts w:cs="宋体"/>
                <w:color w:val="auto"/>
                <w:sz w:val="18"/>
                <w:szCs w:val="18"/>
              </w:rPr>
            </w:pPr>
            <w:r>
              <w:rPr>
                <w:rFonts w:hint="eastAsia" w:cs="宋体"/>
                <w:color w:val="auto"/>
                <w:sz w:val="18"/>
                <w:szCs w:val="18"/>
              </w:rPr>
              <w:t>c</w:t>
            </w:r>
          </w:p>
        </w:tc>
        <w:tc>
          <w:tcPr>
            <w:tcW w:w="883" w:type="dxa"/>
            <w:vAlign w:val="center"/>
          </w:tcPr>
          <w:p>
            <w:pPr>
              <w:pStyle w:val="52"/>
              <w:ind w:firstLine="0" w:firstLineChars="0"/>
              <w:jc w:val="center"/>
              <w:rPr>
                <w:rFonts w:cs="宋体"/>
                <w:color w:val="auto"/>
                <w:sz w:val="18"/>
                <w:szCs w:val="18"/>
              </w:rPr>
            </w:pPr>
            <w:r>
              <w:rPr>
                <w:rFonts w:hint="eastAsia" w:cs="宋体"/>
                <w:color w:val="auto"/>
                <w:sz w:val="18"/>
                <w:szCs w:val="18"/>
              </w:rPr>
              <w:t>m</w:t>
            </w:r>
          </w:p>
        </w:tc>
        <w:tc>
          <w:tcPr>
            <w:tcW w:w="883" w:type="dxa"/>
            <w:vAlign w:val="center"/>
          </w:tcPr>
          <w:p>
            <w:pPr>
              <w:pStyle w:val="52"/>
              <w:ind w:firstLine="0" w:firstLineChars="0"/>
              <w:jc w:val="center"/>
              <w:rPr>
                <w:rFonts w:cs="宋体"/>
                <w:color w:val="auto"/>
                <w:sz w:val="18"/>
                <w:szCs w:val="18"/>
              </w:rPr>
            </w:pPr>
            <w:r>
              <w:rPr>
                <w:rFonts w:hint="eastAsia" w:cs="宋体"/>
                <w:color w:val="auto"/>
                <w:sz w:val="18"/>
                <w:szCs w:val="18"/>
              </w:rPr>
              <w:t>M</w:t>
            </w:r>
          </w:p>
        </w:tc>
        <w:tc>
          <w:tcPr>
            <w:tcW w:w="2548" w:type="dxa"/>
            <w:vMerge w:val="continue"/>
            <w:vAlign w:val="center"/>
          </w:tcPr>
          <w:p>
            <w:pPr>
              <w:pStyle w:val="52"/>
              <w:ind w:firstLine="0" w:firstLineChars="0"/>
              <w:jc w:val="center"/>
              <w:rPr>
                <w:rFonts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96" w:type="dxa"/>
            <w:vAlign w:val="center"/>
          </w:tcPr>
          <w:p>
            <w:pPr>
              <w:pStyle w:val="52"/>
              <w:ind w:firstLine="0" w:firstLineChars="0"/>
              <w:jc w:val="left"/>
              <w:rPr>
                <w:rFonts w:cs="宋体"/>
                <w:color w:val="auto"/>
                <w:sz w:val="18"/>
                <w:szCs w:val="18"/>
              </w:rPr>
            </w:pPr>
            <w:r>
              <w:rPr>
                <w:rFonts w:hint="eastAsia" w:cs="宋体"/>
                <w:color w:val="auto"/>
                <w:sz w:val="18"/>
                <w:szCs w:val="18"/>
              </w:rPr>
              <w:t>菌落总数/（CFU/g）</w:t>
            </w:r>
          </w:p>
        </w:tc>
        <w:tc>
          <w:tcPr>
            <w:tcW w:w="883" w:type="dxa"/>
            <w:vAlign w:val="center"/>
          </w:tcPr>
          <w:p>
            <w:pPr>
              <w:pStyle w:val="52"/>
              <w:ind w:firstLine="0" w:firstLineChars="0"/>
              <w:jc w:val="center"/>
              <w:rPr>
                <w:rFonts w:cs="宋体"/>
                <w:color w:val="auto"/>
                <w:sz w:val="18"/>
                <w:szCs w:val="18"/>
              </w:rPr>
            </w:pPr>
            <w:r>
              <w:rPr>
                <w:rFonts w:hint="eastAsia" w:cs="宋体"/>
                <w:color w:val="auto"/>
                <w:sz w:val="18"/>
                <w:szCs w:val="18"/>
              </w:rPr>
              <w:t>5</w:t>
            </w:r>
          </w:p>
        </w:tc>
        <w:tc>
          <w:tcPr>
            <w:tcW w:w="883" w:type="dxa"/>
            <w:vAlign w:val="center"/>
          </w:tcPr>
          <w:p>
            <w:pPr>
              <w:pStyle w:val="52"/>
              <w:ind w:firstLine="0" w:firstLineChars="0"/>
              <w:jc w:val="center"/>
              <w:rPr>
                <w:rFonts w:cs="宋体"/>
                <w:color w:val="auto"/>
                <w:sz w:val="18"/>
                <w:szCs w:val="18"/>
              </w:rPr>
            </w:pPr>
            <w:r>
              <w:rPr>
                <w:rFonts w:hint="eastAsia" w:cs="宋体"/>
                <w:color w:val="auto"/>
                <w:sz w:val="18"/>
                <w:szCs w:val="18"/>
              </w:rPr>
              <w:t>2</w:t>
            </w:r>
          </w:p>
        </w:tc>
        <w:tc>
          <w:tcPr>
            <w:tcW w:w="883" w:type="dxa"/>
            <w:vAlign w:val="center"/>
          </w:tcPr>
          <w:p>
            <w:pPr>
              <w:pStyle w:val="52"/>
              <w:ind w:firstLine="0" w:firstLineChars="0"/>
              <w:jc w:val="center"/>
              <w:rPr>
                <w:rFonts w:cs="宋体"/>
                <w:color w:val="auto"/>
                <w:sz w:val="18"/>
                <w:szCs w:val="18"/>
              </w:rPr>
            </w:pPr>
            <w:r>
              <w:rPr>
                <w:rFonts w:hint="eastAsia" w:cs="宋体"/>
                <w:color w:val="auto"/>
                <w:sz w:val="18"/>
                <w:szCs w:val="18"/>
              </w:rPr>
              <w:t>10</w:t>
            </w:r>
            <w:r>
              <w:rPr>
                <w:rFonts w:hint="eastAsia" w:cs="宋体"/>
                <w:color w:val="auto"/>
                <w:sz w:val="18"/>
                <w:szCs w:val="18"/>
                <w:vertAlign w:val="superscript"/>
              </w:rPr>
              <w:t>4</w:t>
            </w:r>
          </w:p>
        </w:tc>
        <w:tc>
          <w:tcPr>
            <w:tcW w:w="883" w:type="dxa"/>
            <w:vAlign w:val="center"/>
          </w:tcPr>
          <w:p>
            <w:pPr>
              <w:pStyle w:val="52"/>
              <w:ind w:firstLine="0" w:firstLineChars="0"/>
              <w:jc w:val="center"/>
              <w:rPr>
                <w:rFonts w:cs="宋体"/>
                <w:color w:val="auto"/>
                <w:sz w:val="18"/>
                <w:szCs w:val="18"/>
              </w:rPr>
            </w:pPr>
            <w:r>
              <w:rPr>
                <w:rFonts w:hint="eastAsia" w:cs="宋体"/>
                <w:color w:val="auto"/>
                <w:sz w:val="18"/>
                <w:szCs w:val="18"/>
              </w:rPr>
              <w:t>10</w:t>
            </w:r>
            <w:r>
              <w:rPr>
                <w:rFonts w:hint="eastAsia" w:cs="宋体"/>
                <w:color w:val="auto"/>
                <w:sz w:val="18"/>
                <w:szCs w:val="18"/>
                <w:vertAlign w:val="superscript"/>
              </w:rPr>
              <w:t>5</w:t>
            </w:r>
          </w:p>
        </w:tc>
        <w:tc>
          <w:tcPr>
            <w:tcW w:w="2548" w:type="dxa"/>
            <w:vAlign w:val="center"/>
          </w:tcPr>
          <w:p>
            <w:pPr>
              <w:pStyle w:val="52"/>
              <w:ind w:firstLine="0" w:firstLineChars="0"/>
              <w:jc w:val="center"/>
              <w:rPr>
                <w:rFonts w:cs="宋体"/>
                <w:color w:val="auto"/>
                <w:sz w:val="18"/>
                <w:szCs w:val="18"/>
              </w:rPr>
            </w:pPr>
            <w:r>
              <w:rPr>
                <w:rFonts w:hint="eastAsia" w:cs="宋体"/>
                <w:color w:val="auto"/>
                <w:sz w:val="18"/>
                <w:szCs w:val="18"/>
              </w:rPr>
              <w:t>GB 4789.2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96" w:type="dxa"/>
            <w:vAlign w:val="center"/>
          </w:tcPr>
          <w:p>
            <w:pPr>
              <w:pStyle w:val="52"/>
              <w:ind w:firstLine="0" w:firstLineChars="0"/>
              <w:jc w:val="left"/>
              <w:rPr>
                <w:rFonts w:cs="宋体"/>
                <w:color w:val="auto"/>
                <w:sz w:val="18"/>
                <w:szCs w:val="18"/>
              </w:rPr>
            </w:pPr>
            <w:r>
              <w:rPr>
                <w:rFonts w:hint="eastAsia" w:cs="宋体"/>
                <w:color w:val="auto"/>
                <w:sz w:val="18"/>
                <w:szCs w:val="18"/>
              </w:rPr>
              <w:t>大肠菌群/（CFU/g）</w:t>
            </w:r>
          </w:p>
        </w:tc>
        <w:tc>
          <w:tcPr>
            <w:tcW w:w="883" w:type="dxa"/>
            <w:vAlign w:val="center"/>
          </w:tcPr>
          <w:p>
            <w:pPr>
              <w:pStyle w:val="52"/>
              <w:ind w:firstLine="0" w:firstLineChars="0"/>
              <w:jc w:val="center"/>
              <w:rPr>
                <w:rFonts w:cs="宋体"/>
                <w:color w:val="auto"/>
                <w:sz w:val="18"/>
                <w:szCs w:val="18"/>
              </w:rPr>
            </w:pPr>
            <w:r>
              <w:rPr>
                <w:rFonts w:hint="eastAsia" w:cs="宋体"/>
                <w:color w:val="auto"/>
                <w:sz w:val="18"/>
                <w:szCs w:val="18"/>
              </w:rPr>
              <w:t>5</w:t>
            </w:r>
          </w:p>
        </w:tc>
        <w:tc>
          <w:tcPr>
            <w:tcW w:w="883" w:type="dxa"/>
            <w:vAlign w:val="center"/>
          </w:tcPr>
          <w:p>
            <w:pPr>
              <w:pStyle w:val="52"/>
              <w:ind w:firstLine="0" w:firstLineChars="0"/>
              <w:jc w:val="center"/>
              <w:rPr>
                <w:rFonts w:cs="宋体"/>
                <w:color w:val="auto"/>
                <w:sz w:val="18"/>
                <w:szCs w:val="18"/>
              </w:rPr>
            </w:pPr>
            <w:r>
              <w:rPr>
                <w:rFonts w:hint="eastAsia" w:cs="宋体"/>
                <w:color w:val="auto"/>
                <w:sz w:val="18"/>
                <w:szCs w:val="18"/>
              </w:rPr>
              <w:t>2</w:t>
            </w:r>
          </w:p>
        </w:tc>
        <w:tc>
          <w:tcPr>
            <w:tcW w:w="883" w:type="dxa"/>
            <w:vAlign w:val="center"/>
          </w:tcPr>
          <w:p>
            <w:pPr>
              <w:pStyle w:val="52"/>
              <w:ind w:firstLine="0" w:firstLineChars="0"/>
              <w:jc w:val="center"/>
              <w:rPr>
                <w:rFonts w:cs="宋体"/>
                <w:color w:val="auto"/>
                <w:sz w:val="18"/>
                <w:szCs w:val="18"/>
              </w:rPr>
            </w:pPr>
            <w:r>
              <w:rPr>
                <w:rFonts w:hint="eastAsia" w:cs="宋体"/>
                <w:color w:val="auto"/>
                <w:sz w:val="18"/>
                <w:szCs w:val="18"/>
              </w:rPr>
              <w:t>10</w:t>
            </w:r>
          </w:p>
        </w:tc>
        <w:tc>
          <w:tcPr>
            <w:tcW w:w="883" w:type="dxa"/>
            <w:vAlign w:val="center"/>
          </w:tcPr>
          <w:p>
            <w:pPr>
              <w:pStyle w:val="52"/>
              <w:ind w:firstLine="0" w:firstLineChars="0"/>
              <w:jc w:val="center"/>
              <w:rPr>
                <w:rFonts w:cs="宋体"/>
                <w:color w:val="auto"/>
                <w:sz w:val="18"/>
                <w:szCs w:val="18"/>
              </w:rPr>
            </w:pPr>
            <w:r>
              <w:rPr>
                <w:rFonts w:hint="eastAsia" w:cs="宋体"/>
                <w:color w:val="auto"/>
                <w:sz w:val="18"/>
                <w:szCs w:val="18"/>
              </w:rPr>
              <w:t>10</w:t>
            </w:r>
            <w:r>
              <w:rPr>
                <w:rFonts w:hint="eastAsia" w:cs="宋体"/>
                <w:color w:val="auto"/>
                <w:sz w:val="18"/>
                <w:szCs w:val="18"/>
                <w:vertAlign w:val="superscript"/>
              </w:rPr>
              <w:t>2</w:t>
            </w:r>
          </w:p>
        </w:tc>
        <w:tc>
          <w:tcPr>
            <w:tcW w:w="2548" w:type="dxa"/>
            <w:vAlign w:val="center"/>
          </w:tcPr>
          <w:p>
            <w:pPr>
              <w:pStyle w:val="52"/>
              <w:ind w:firstLine="0" w:firstLineChars="0"/>
              <w:jc w:val="center"/>
              <w:rPr>
                <w:rFonts w:cs="宋体"/>
                <w:color w:val="auto"/>
                <w:sz w:val="18"/>
                <w:szCs w:val="18"/>
              </w:rPr>
            </w:pPr>
            <w:r>
              <w:rPr>
                <w:rFonts w:hint="eastAsia" w:cs="宋体"/>
                <w:color w:val="auto"/>
                <w:sz w:val="18"/>
                <w:szCs w:val="18"/>
              </w:rPr>
              <w:t>GB 4789.3中的平板计数法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76" w:type="dxa"/>
            <w:gridSpan w:val="6"/>
            <w:vAlign w:val="center"/>
          </w:tcPr>
          <w:p>
            <w:pPr>
              <w:pStyle w:val="52"/>
              <w:ind w:firstLine="0" w:firstLineChars="0"/>
              <w:jc w:val="left"/>
              <w:rPr>
                <w:rFonts w:cs="宋体"/>
                <w:color w:val="auto"/>
                <w:sz w:val="18"/>
                <w:szCs w:val="18"/>
              </w:rPr>
            </w:pPr>
            <w:r>
              <w:rPr>
                <w:rFonts w:hint="eastAsia" w:cs="宋体"/>
                <w:color w:val="auto"/>
                <w:sz w:val="18"/>
                <w:szCs w:val="18"/>
              </w:rPr>
              <w:t xml:space="preserve">注： </w:t>
            </w:r>
            <w:r>
              <w:rPr>
                <w:rFonts w:hint="eastAsia" w:cs="宋体"/>
                <w:color w:val="auto"/>
                <w:sz w:val="18"/>
                <w:szCs w:val="18"/>
                <w:vertAlign w:val="superscript"/>
              </w:rPr>
              <w:t xml:space="preserve">a </w:t>
            </w:r>
            <w:r>
              <w:rPr>
                <w:rFonts w:hint="eastAsia" w:cs="宋体"/>
                <w:color w:val="auto"/>
                <w:sz w:val="18"/>
                <w:szCs w:val="18"/>
              </w:rPr>
              <w:t>样品的采样及处理按GB 4789.1 执行</w:t>
            </w:r>
          </w:p>
        </w:tc>
      </w:tr>
    </w:tbl>
    <w:p>
      <w:pPr>
        <w:pStyle w:val="26"/>
        <w:widowControl/>
        <w:numPr>
          <w:ilvl w:val="1"/>
          <w:numId w:val="3"/>
        </w:numPr>
        <w:tabs>
          <w:tab w:val="left" w:pos="0"/>
        </w:tabs>
        <w:spacing w:beforeLines="50" w:afterLines="50"/>
        <w:jc w:val="left"/>
        <w:outlineLvl w:val="2"/>
        <w:rPr>
          <w:color w:val="auto"/>
        </w:rPr>
      </w:pPr>
      <w:r>
        <w:rPr>
          <w:rFonts w:hint="eastAsia" w:eastAsia="黑体" w:cs="黑体"/>
          <w:color w:val="auto"/>
          <w:kern w:val="0"/>
          <w:sz w:val="21"/>
          <w:szCs w:val="20"/>
        </w:rPr>
        <w:t xml:space="preserve">  食品添加剂</w:t>
      </w:r>
    </w:p>
    <w:p>
      <w:pPr>
        <w:pStyle w:val="26"/>
        <w:widowControl/>
        <w:tabs>
          <w:tab w:val="left" w:pos="0"/>
        </w:tabs>
        <w:spacing w:line="320" w:lineRule="exact"/>
        <w:ind w:firstLine="420" w:firstLineChars="200"/>
        <w:jc w:val="left"/>
        <w:outlineLvl w:val="3"/>
        <w:rPr>
          <w:rFonts w:ascii="宋体" w:hAnsi="宋体" w:cs="宋体"/>
          <w:color w:val="auto"/>
        </w:rPr>
      </w:pPr>
      <w:r>
        <w:rPr>
          <w:rFonts w:hint="eastAsia" w:ascii="宋体" w:hAnsi="宋体" w:cs="宋体"/>
          <w:color w:val="auto"/>
          <w:kern w:val="0"/>
          <w:sz w:val="21"/>
          <w:szCs w:val="20"/>
        </w:rPr>
        <w:t>应符合GB 2760的规定。</w:t>
      </w:r>
    </w:p>
    <w:p>
      <w:pPr>
        <w:pStyle w:val="26"/>
        <w:widowControl/>
        <w:numPr>
          <w:ilvl w:val="1"/>
          <w:numId w:val="3"/>
        </w:numPr>
        <w:tabs>
          <w:tab w:val="left" w:pos="0"/>
        </w:tabs>
        <w:spacing w:beforeLines="50" w:afterLines="50" w:line="320" w:lineRule="exact"/>
        <w:jc w:val="left"/>
        <w:outlineLvl w:val="2"/>
        <w:rPr>
          <w:color w:val="auto"/>
        </w:rPr>
      </w:pPr>
      <w:r>
        <w:rPr>
          <w:rFonts w:hint="eastAsia" w:eastAsia="黑体" w:cs="黑体"/>
          <w:color w:val="auto"/>
          <w:kern w:val="0"/>
          <w:sz w:val="21"/>
          <w:szCs w:val="20"/>
        </w:rPr>
        <w:t xml:space="preserve">  净含量</w:t>
      </w:r>
    </w:p>
    <w:p>
      <w:pPr>
        <w:pStyle w:val="26"/>
        <w:widowControl/>
        <w:autoSpaceDE w:val="0"/>
        <w:autoSpaceDN w:val="0"/>
        <w:spacing w:line="320" w:lineRule="exact"/>
        <w:ind w:firstLine="420" w:firstLineChars="200"/>
        <w:rPr>
          <w:rFonts w:hAnsi="宋体"/>
          <w:color w:val="auto"/>
        </w:rPr>
      </w:pPr>
      <w:r>
        <w:rPr>
          <w:rFonts w:hint="eastAsia" w:ascii="宋体" w:hAnsi="宋体" w:cs="宋体"/>
          <w:color w:val="auto"/>
          <w:kern w:val="0"/>
          <w:sz w:val="21"/>
          <w:szCs w:val="20"/>
        </w:rPr>
        <w:t>应符合国家《定量包装商品计量监督管理办法》</w:t>
      </w:r>
      <w:r>
        <w:rPr>
          <w:rFonts w:hint="eastAsia" w:cs="宋体"/>
          <w:color w:val="auto"/>
          <w:kern w:val="0"/>
          <w:sz w:val="21"/>
          <w:szCs w:val="20"/>
        </w:rPr>
        <w:t>的规定</w:t>
      </w:r>
      <w:r>
        <w:rPr>
          <w:rFonts w:hint="eastAsia" w:ascii="宋体" w:hAnsi="宋体" w:cs="宋体"/>
          <w:color w:val="auto"/>
          <w:kern w:val="0"/>
          <w:sz w:val="21"/>
          <w:szCs w:val="20"/>
        </w:rPr>
        <w:t>。</w:t>
      </w:r>
      <w:r>
        <w:rPr>
          <w:rFonts w:hint="eastAsia" w:ascii="宋体" w:hAnsi="宋体"/>
          <w:color w:val="auto"/>
          <w:kern w:val="0"/>
          <w:sz w:val="21"/>
          <w:szCs w:val="20"/>
        </w:rPr>
        <w:t>按JJF 1070的规定检测。</w:t>
      </w:r>
    </w:p>
    <w:p>
      <w:pPr>
        <w:pStyle w:val="26"/>
        <w:widowControl/>
        <w:numPr>
          <w:ilvl w:val="1"/>
          <w:numId w:val="3"/>
        </w:numPr>
        <w:tabs>
          <w:tab w:val="left" w:pos="0"/>
        </w:tabs>
        <w:spacing w:beforeLines="50" w:afterLines="50" w:line="320" w:lineRule="exact"/>
        <w:jc w:val="left"/>
        <w:outlineLvl w:val="2"/>
        <w:rPr>
          <w:rFonts w:ascii="黑体" w:hAnsi="宋体" w:eastAsia="黑体" w:cs="黑体"/>
          <w:color w:val="auto"/>
        </w:rPr>
      </w:pPr>
      <w:r>
        <w:rPr>
          <w:rFonts w:hint="eastAsia" w:ascii="黑体" w:hAnsi="宋体" w:eastAsia="黑体" w:cs="黑体"/>
          <w:color w:val="auto"/>
          <w:kern w:val="0"/>
          <w:sz w:val="21"/>
          <w:szCs w:val="20"/>
        </w:rPr>
        <w:t xml:space="preserve">  生产加工过程的卫生要求</w:t>
      </w:r>
    </w:p>
    <w:p>
      <w:pPr>
        <w:pStyle w:val="26"/>
        <w:widowControl/>
        <w:spacing w:line="320" w:lineRule="exact"/>
        <w:ind w:firstLine="420" w:firstLineChars="200"/>
        <w:jc w:val="left"/>
        <w:outlineLvl w:val="2"/>
        <w:rPr>
          <w:rFonts w:ascii="宋体" w:hAnsi="宋体" w:cs="宋体"/>
          <w:color w:val="auto"/>
        </w:rPr>
      </w:pPr>
      <w:r>
        <w:rPr>
          <w:rFonts w:hint="eastAsia" w:ascii="宋体" w:hAnsi="宋体" w:cs="宋体"/>
          <w:color w:val="auto"/>
          <w:kern w:val="0"/>
          <w:sz w:val="21"/>
          <w:szCs w:val="20"/>
        </w:rPr>
        <w:t>应符合GB 14881的规定。</w:t>
      </w:r>
    </w:p>
    <w:p>
      <w:pPr>
        <w:pStyle w:val="26"/>
        <w:widowControl/>
        <w:numPr>
          <w:ilvl w:val="0"/>
          <w:numId w:val="3"/>
        </w:numPr>
        <w:spacing w:beforeLines="100" w:afterLines="100"/>
        <w:outlineLvl w:val="1"/>
        <w:rPr>
          <w:color w:val="auto"/>
        </w:rPr>
      </w:pPr>
      <w:r>
        <w:rPr>
          <w:rFonts w:hint="eastAsia" w:ascii="黑体" w:eastAsia="黑体"/>
          <w:color w:val="auto"/>
          <w:kern w:val="0"/>
          <w:sz w:val="21"/>
          <w:szCs w:val="20"/>
        </w:rPr>
        <w:t>检验规则</w:t>
      </w:r>
    </w:p>
    <w:p>
      <w:pPr>
        <w:pStyle w:val="26"/>
        <w:widowControl/>
        <w:numPr>
          <w:ilvl w:val="1"/>
          <w:numId w:val="3"/>
        </w:numPr>
        <w:spacing w:beforeLines="50" w:afterLines="50"/>
        <w:jc w:val="left"/>
        <w:outlineLvl w:val="2"/>
        <w:rPr>
          <w:color w:val="auto"/>
        </w:rPr>
      </w:pPr>
      <w:r>
        <w:rPr>
          <w:rFonts w:hint="eastAsia" w:eastAsia="黑体" w:cs="黑体"/>
          <w:color w:val="auto"/>
          <w:kern w:val="0"/>
          <w:sz w:val="21"/>
          <w:szCs w:val="20"/>
        </w:rPr>
        <w:t xml:space="preserve"> 组批</w:t>
      </w:r>
    </w:p>
    <w:p>
      <w:pPr>
        <w:pStyle w:val="26"/>
        <w:widowControl/>
        <w:autoSpaceDE w:val="0"/>
        <w:autoSpaceDN w:val="0"/>
        <w:spacing w:line="320" w:lineRule="exact"/>
        <w:ind w:firstLine="420" w:firstLineChars="200"/>
        <w:rPr>
          <w:color w:val="auto"/>
        </w:rPr>
      </w:pPr>
      <w:r>
        <w:rPr>
          <w:rFonts w:hint="eastAsia" w:ascii="宋体"/>
          <w:color w:val="auto"/>
          <w:kern w:val="0"/>
          <w:sz w:val="21"/>
          <w:szCs w:val="20"/>
        </w:rPr>
        <w:t>同一批原料、同一生产方式、同一规格的产品为一组批。</w:t>
      </w:r>
    </w:p>
    <w:p>
      <w:pPr>
        <w:pStyle w:val="26"/>
        <w:widowControl/>
        <w:spacing w:beforeLines="50" w:afterLines="50"/>
        <w:jc w:val="left"/>
        <w:outlineLvl w:val="2"/>
        <w:rPr>
          <w:color w:val="auto"/>
        </w:rPr>
      </w:pPr>
      <w:r>
        <w:rPr>
          <w:rFonts w:hint="eastAsia" w:ascii="黑体" w:hAnsi="黑体" w:eastAsia="黑体" w:cs="黑体"/>
          <w:color w:val="auto"/>
          <w:kern w:val="0"/>
          <w:sz w:val="21"/>
          <w:szCs w:val="20"/>
        </w:rPr>
        <w:t>4.2</w:t>
      </w:r>
      <w:r>
        <w:rPr>
          <w:rFonts w:hint="eastAsia" w:eastAsia="黑体" w:cs="黑体"/>
          <w:color w:val="auto"/>
          <w:kern w:val="0"/>
          <w:sz w:val="21"/>
          <w:szCs w:val="20"/>
        </w:rPr>
        <w:t xml:space="preserve">  抽样</w:t>
      </w:r>
    </w:p>
    <w:p>
      <w:pPr>
        <w:pStyle w:val="26"/>
        <w:widowControl/>
        <w:numPr>
          <w:ilvl w:val="3"/>
          <w:numId w:val="0"/>
        </w:numPr>
        <w:jc w:val="left"/>
        <w:outlineLvl w:val="3"/>
        <w:rPr>
          <w:rFonts w:ascii="宋体" w:hAnsi="宋体" w:cs="宋体"/>
          <w:color w:val="auto"/>
          <w:szCs w:val="21"/>
        </w:rPr>
      </w:pPr>
      <w:r>
        <w:rPr>
          <w:rFonts w:hint="eastAsia" w:ascii="宋体" w:hAnsi="宋体" w:cs="宋体"/>
          <w:bCs/>
          <w:color w:val="auto"/>
          <w:kern w:val="0"/>
          <w:sz w:val="21"/>
          <w:szCs w:val="21"/>
        </w:rPr>
        <w:t xml:space="preserve">    抽样方法按随机抽样进行。抽</w:t>
      </w:r>
      <w:r>
        <w:rPr>
          <w:rFonts w:hint="eastAsia" w:ascii="宋体" w:hAnsi="宋体" w:cs="宋体"/>
          <w:color w:val="auto"/>
          <w:kern w:val="0"/>
          <w:sz w:val="21"/>
          <w:szCs w:val="21"/>
        </w:rPr>
        <w:t>样数量应不少于1kg（不少于12个最小包装单位）。将所抽样品分成2份，其中三分之二份用于检验，三分之一份留样备查。</w:t>
      </w:r>
    </w:p>
    <w:p>
      <w:pPr>
        <w:pStyle w:val="26"/>
        <w:widowControl/>
        <w:numPr>
          <w:ilvl w:val="1"/>
          <w:numId w:val="4"/>
        </w:numPr>
        <w:spacing w:beforeLines="50" w:afterLines="50" w:line="320" w:lineRule="exact"/>
        <w:jc w:val="left"/>
        <w:outlineLvl w:val="2"/>
        <w:rPr>
          <w:color w:val="auto"/>
        </w:rPr>
      </w:pPr>
      <w:r>
        <w:rPr>
          <w:rFonts w:hint="eastAsia" w:eastAsia="黑体" w:cs="黑体"/>
          <w:color w:val="auto"/>
          <w:kern w:val="0"/>
          <w:sz w:val="21"/>
          <w:szCs w:val="20"/>
        </w:rPr>
        <w:t xml:space="preserve">  检验分类</w:t>
      </w:r>
    </w:p>
    <w:p>
      <w:pPr>
        <w:pStyle w:val="26"/>
        <w:widowControl/>
        <w:autoSpaceDE w:val="0"/>
        <w:autoSpaceDN w:val="0"/>
        <w:spacing w:line="320" w:lineRule="exact"/>
        <w:ind w:firstLine="420" w:firstLineChars="200"/>
        <w:rPr>
          <w:color w:val="auto"/>
        </w:rPr>
      </w:pPr>
      <w:r>
        <w:rPr>
          <w:rFonts w:hint="eastAsia" w:ascii="宋体"/>
          <w:color w:val="auto"/>
          <w:kern w:val="0"/>
          <w:sz w:val="21"/>
          <w:szCs w:val="20"/>
        </w:rPr>
        <w:t>产品检验分为出厂检验和型式检验。</w:t>
      </w:r>
    </w:p>
    <w:p>
      <w:pPr>
        <w:pStyle w:val="26"/>
        <w:widowControl/>
        <w:numPr>
          <w:ilvl w:val="2"/>
          <w:numId w:val="4"/>
        </w:numPr>
        <w:spacing w:beforeLines="50" w:afterLines="50"/>
        <w:jc w:val="left"/>
        <w:outlineLvl w:val="3"/>
        <w:rPr>
          <w:color w:val="auto"/>
        </w:rPr>
      </w:pPr>
      <w:r>
        <w:rPr>
          <w:rFonts w:hint="eastAsia" w:eastAsia="黑体" w:cs="黑体"/>
          <w:color w:val="auto"/>
          <w:kern w:val="0"/>
          <w:sz w:val="21"/>
          <w:szCs w:val="20"/>
        </w:rPr>
        <w:t>出厂检验</w:t>
      </w:r>
    </w:p>
    <w:p>
      <w:pPr>
        <w:pStyle w:val="26"/>
        <w:widowControl/>
        <w:autoSpaceDE w:val="0"/>
        <w:autoSpaceDN w:val="0"/>
        <w:ind w:firstLine="420" w:firstLineChars="200"/>
        <w:rPr>
          <w:rFonts w:ascii="黑体" w:hAnsi="宋体" w:eastAsia="黑体" w:cs="黑体"/>
          <w:color w:val="auto"/>
        </w:rPr>
      </w:pPr>
      <w:r>
        <w:rPr>
          <w:rFonts w:hint="eastAsia" w:ascii="宋体" w:hAnsi="宋体"/>
          <w:color w:val="auto"/>
          <w:kern w:val="0"/>
          <w:sz w:val="21"/>
          <w:szCs w:val="20"/>
        </w:rPr>
        <w:t>每批产品出厂前，应进行出厂检验，检验合格并附合格证的产品方可出厂。出厂检验内容包括：感官要求、净含量、</w:t>
      </w:r>
      <w:r>
        <w:rPr>
          <w:rFonts w:hint="eastAsia" w:ascii="方正细黑一简体" w:hAnsi="方正细黑一简体" w:eastAsia="方正细黑一简体" w:cs="方正细黑一简体"/>
          <w:color w:val="auto"/>
          <w:kern w:val="0"/>
          <w:sz w:val="22"/>
          <w:szCs w:val="22"/>
        </w:rPr>
        <w:t>干燥失重、菌落总数。</w:t>
      </w:r>
    </w:p>
    <w:p>
      <w:pPr>
        <w:pStyle w:val="26"/>
        <w:widowControl/>
        <w:numPr>
          <w:ilvl w:val="2"/>
          <w:numId w:val="4"/>
        </w:numPr>
        <w:spacing w:beforeLines="50" w:afterLines="50"/>
        <w:jc w:val="left"/>
        <w:outlineLvl w:val="3"/>
        <w:rPr>
          <w:color w:val="auto"/>
        </w:rPr>
      </w:pPr>
      <w:r>
        <w:rPr>
          <w:rFonts w:hint="eastAsia" w:eastAsia="黑体" w:cs="黑体"/>
          <w:color w:val="auto"/>
          <w:kern w:val="0"/>
          <w:sz w:val="21"/>
          <w:szCs w:val="20"/>
        </w:rPr>
        <w:t>型式检验</w:t>
      </w:r>
    </w:p>
    <w:p>
      <w:pPr>
        <w:pStyle w:val="26"/>
        <w:widowControl/>
        <w:autoSpaceDE w:val="0"/>
        <w:autoSpaceDN w:val="0"/>
        <w:ind w:firstLine="420" w:firstLineChars="200"/>
        <w:rPr>
          <w:color w:val="auto"/>
        </w:rPr>
      </w:pPr>
      <w:r>
        <w:rPr>
          <w:rFonts w:hint="eastAsia" w:ascii="宋体"/>
          <w:color w:val="auto"/>
          <w:kern w:val="0"/>
          <w:sz w:val="21"/>
          <w:szCs w:val="20"/>
        </w:rPr>
        <w:t>型式检验项目为本文件要求中3.3～3.7的全部项目，正常生产时每半年进行一次。有下列情况之一</w:t>
      </w:r>
      <w:r>
        <w:rPr>
          <w:rFonts w:hint="eastAsia" w:ascii="宋体"/>
          <w:color w:val="auto"/>
          <w:kern w:val="0"/>
          <w:sz w:val="21"/>
          <w:szCs w:val="22"/>
        </w:rPr>
        <w:t>时，亦应进行型式检验</w:t>
      </w:r>
      <w:r>
        <w:rPr>
          <w:rFonts w:hint="eastAsia" w:ascii="宋体"/>
          <w:color w:val="auto"/>
          <w:kern w:val="0"/>
          <w:sz w:val="21"/>
          <w:szCs w:val="20"/>
        </w:rPr>
        <w:t>：</w:t>
      </w:r>
    </w:p>
    <w:p>
      <w:pPr>
        <w:pStyle w:val="26"/>
        <w:widowControl/>
        <w:spacing w:line="310" w:lineRule="atLeast"/>
        <w:ind w:left="-840" w:leftChars="-400" w:firstLine="1260" w:firstLineChars="600"/>
        <w:rPr>
          <w:color w:val="auto"/>
        </w:rPr>
      </w:pPr>
      <w:r>
        <w:rPr>
          <w:rFonts w:hint="eastAsia" w:ascii="宋体" w:hAnsi="宋体"/>
          <w:color w:val="auto"/>
          <w:kern w:val="0"/>
          <w:sz w:val="21"/>
          <w:szCs w:val="21"/>
        </w:rPr>
        <w:t>a）原料产地、加工工艺或生产设备有较大改变,可能影响产品质量时；</w:t>
      </w:r>
    </w:p>
    <w:p>
      <w:pPr>
        <w:pStyle w:val="26"/>
        <w:widowControl/>
        <w:spacing w:line="310" w:lineRule="atLeast"/>
        <w:ind w:left="-840" w:leftChars="-400" w:firstLine="1260" w:firstLineChars="600"/>
        <w:rPr>
          <w:color w:val="auto"/>
        </w:rPr>
      </w:pPr>
      <w:r>
        <w:rPr>
          <w:rFonts w:hint="eastAsia" w:ascii="宋体" w:hAnsi="宋体"/>
          <w:color w:val="auto"/>
          <w:kern w:val="0"/>
          <w:sz w:val="21"/>
          <w:szCs w:val="21"/>
        </w:rPr>
        <w:t>b）连续停产三个月以上，恢复生产时；</w:t>
      </w:r>
    </w:p>
    <w:p>
      <w:pPr>
        <w:pStyle w:val="26"/>
        <w:widowControl/>
        <w:spacing w:line="310" w:lineRule="atLeast"/>
        <w:ind w:left="-840" w:leftChars="-400" w:firstLine="1260" w:firstLineChars="600"/>
        <w:rPr>
          <w:color w:val="auto"/>
        </w:rPr>
      </w:pPr>
      <w:r>
        <w:rPr>
          <w:rFonts w:hint="eastAsia" w:ascii="宋体" w:hAnsi="宋体"/>
          <w:color w:val="auto"/>
          <w:kern w:val="0"/>
          <w:sz w:val="21"/>
          <w:szCs w:val="21"/>
        </w:rPr>
        <w:t>c）出厂检验</w:t>
      </w:r>
      <w:bookmarkStart w:id="4" w:name="OLE_LINK5"/>
      <w:r>
        <w:rPr>
          <w:rFonts w:hint="eastAsia" w:ascii="宋体" w:hAnsi="宋体"/>
          <w:color w:val="auto"/>
          <w:kern w:val="0"/>
          <w:sz w:val="21"/>
          <w:szCs w:val="21"/>
        </w:rPr>
        <w:t>结果</w:t>
      </w:r>
      <w:bookmarkEnd w:id="4"/>
      <w:r>
        <w:rPr>
          <w:rFonts w:hint="eastAsia" w:ascii="宋体" w:hAnsi="宋体"/>
          <w:color w:val="auto"/>
          <w:kern w:val="0"/>
          <w:sz w:val="21"/>
          <w:szCs w:val="21"/>
        </w:rPr>
        <w:t>与上次型式检验结果有较大差异时；</w:t>
      </w:r>
    </w:p>
    <w:p>
      <w:pPr>
        <w:pStyle w:val="26"/>
        <w:widowControl/>
        <w:numPr>
          <w:ilvl w:val="0"/>
          <w:numId w:val="5"/>
        </w:numPr>
        <w:spacing w:line="310" w:lineRule="atLeast"/>
        <w:rPr>
          <w:color w:val="auto"/>
        </w:rPr>
      </w:pPr>
      <w:r>
        <w:rPr>
          <w:rFonts w:hint="eastAsia" w:ascii="宋体" w:hAnsi="宋体"/>
          <w:color w:val="auto"/>
          <w:kern w:val="0"/>
          <w:sz w:val="21"/>
          <w:szCs w:val="21"/>
        </w:rPr>
        <w:t>国家市场监督管理部门提出型式检验要求时。</w:t>
      </w:r>
    </w:p>
    <w:p>
      <w:pPr>
        <w:pStyle w:val="26"/>
        <w:widowControl/>
        <w:spacing w:beforeLines="100" w:afterLines="100"/>
        <w:jc w:val="left"/>
        <w:outlineLvl w:val="2"/>
        <w:rPr>
          <w:color w:val="auto"/>
        </w:rPr>
      </w:pPr>
      <w:r>
        <w:rPr>
          <w:rFonts w:hint="eastAsia" w:ascii="黑体" w:hAnsi="黑体" w:eastAsia="黑体" w:cs="黑体"/>
          <w:color w:val="auto"/>
          <w:kern w:val="0"/>
          <w:sz w:val="21"/>
          <w:szCs w:val="20"/>
        </w:rPr>
        <w:t>5</w:t>
      </w:r>
      <w:r>
        <w:rPr>
          <w:rFonts w:hint="eastAsia" w:eastAsia="黑体" w:cs="黑体"/>
          <w:color w:val="auto"/>
          <w:kern w:val="0"/>
          <w:sz w:val="21"/>
          <w:szCs w:val="20"/>
        </w:rPr>
        <w:t xml:space="preserve">  判定规则</w:t>
      </w:r>
    </w:p>
    <w:p>
      <w:pPr>
        <w:pStyle w:val="26"/>
        <w:widowControl/>
        <w:numPr>
          <w:ilvl w:val="3"/>
          <w:numId w:val="0"/>
        </w:numPr>
        <w:spacing w:line="320" w:lineRule="exact"/>
        <w:ind w:firstLine="420" w:firstLineChars="200"/>
        <w:jc w:val="left"/>
        <w:outlineLvl w:val="3"/>
        <w:rPr>
          <w:rFonts w:ascii="宋体" w:hAnsi="宋体" w:cs="宋体"/>
          <w:color w:val="auto"/>
          <w:kern w:val="0"/>
          <w:sz w:val="21"/>
          <w:szCs w:val="20"/>
        </w:rPr>
      </w:pPr>
      <w:r>
        <w:rPr>
          <w:rFonts w:hint="eastAsia" w:ascii="宋体" w:hAnsi="宋体" w:cs="宋体"/>
          <w:color w:val="auto"/>
          <w:kern w:val="0"/>
          <w:sz w:val="21"/>
          <w:szCs w:val="20"/>
        </w:rPr>
        <w:t>检验项目全部合格者，判为合格品。否则，可对该批次留样产品进行不符合项的检验，判定结果以复检结果为准。微生物指标不合格不得复检。</w:t>
      </w:r>
    </w:p>
    <w:p>
      <w:pPr>
        <w:pStyle w:val="26"/>
        <w:widowControl/>
        <w:numPr>
          <w:ilvl w:val="3"/>
          <w:numId w:val="0"/>
        </w:numPr>
        <w:spacing w:beforeLines="100" w:afterLines="100"/>
        <w:jc w:val="left"/>
        <w:outlineLvl w:val="3"/>
        <w:rPr>
          <w:rFonts w:ascii="黑体" w:hAnsi="黑体" w:eastAsia="黑体" w:cs="宋体"/>
          <w:color w:val="auto"/>
          <w:kern w:val="0"/>
          <w:sz w:val="21"/>
          <w:szCs w:val="20"/>
        </w:rPr>
      </w:pPr>
      <w:r>
        <w:rPr>
          <w:rFonts w:hint="eastAsia" w:ascii="黑体" w:hAnsi="黑体" w:eastAsia="黑体" w:cs="宋体"/>
          <w:color w:val="auto"/>
          <w:kern w:val="0"/>
          <w:sz w:val="21"/>
          <w:szCs w:val="20"/>
        </w:rPr>
        <w:t xml:space="preserve">6  </w:t>
      </w:r>
      <w:r>
        <w:rPr>
          <w:rFonts w:hint="eastAsia" w:ascii="黑体" w:eastAsia="黑体"/>
          <w:color w:val="auto"/>
          <w:kern w:val="0"/>
          <w:sz w:val="21"/>
          <w:szCs w:val="20"/>
        </w:rPr>
        <w:t>标志、标签、包装、运输、贮存、保质期</w:t>
      </w:r>
    </w:p>
    <w:p>
      <w:pPr>
        <w:pStyle w:val="26"/>
        <w:widowControl/>
        <w:spacing w:beforeLines="50" w:afterLines="50"/>
        <w:jc w:val="left"/>
        <w:outlineLvl w:val="2"/>
        <w:rPr>
          <w:color w:val="auto"/>
        </w:rPr>
      </w:pPr>
      <w:r>
        <w:rPr>
          <w:rFonts w:hint="eastAsia" w:ascii="黑体" w:hAnsi="黑体" w:eastAsia="黑体" w:cs="黑体"/>
          <w:color w:val="auto"/>
          <w:kern w:val="0"/>
          <w:sz w:val="21"/>
          <w:szCs w:val="20"/>
        </w:rPr>
        <w:t>6.1</w:t>
      </w:r>
      <w:r>
        <w:rPr>
          <w:rFonts w:hint="eastAsia" w:eastAsia="黑体" w:cs="黑体"/>
          <w:color w:val="auto"/>
          <w:kern w:val="0"/>
          <w:sz w:val="21"/>
          <w:szCs w:val="20"/>
        </w:rPr>
        <w:t xml:space="preserve">  标志、标签</w:t>
      </w:r>
    </w:p>
    <w:p>
      <w:pPr>
        <w:ind w:firstLine="420" w:firstLineChars="200"/>
        <w:rPr>
          <w:rFonts w:ascii="宋体" w:hAnsi="宋体" w:cs="宋体"/>
          <w:color w:val="auto"/>
          <w:szCs w:val="21"/>
        </w:rPr>
      </w:pPr>
      <w:r>
        <w:rPr>
          <w:rFonts w:hint="eastAsia" w:ascii="宋体" w:hAnsi="宋体" w:cs="宋体"/>
          <w:snapToGrid w:val="0"/>
          <w:color w:val="auto"/>
        </w:rPr>
        <w:t>产品包装应有明显标志，</w:t>
      </w:r>
      <w:r>
        <w:rPr>
          <w:rFonts w:hint="eastAsia" w:ascii="宋体" w:hAnsi="宋体" w:cs="宋体"/>
          <w:color w:val="auto"/>
          <w:szCs w:val="21"/>
        </w:rPr>
        <w:t>包装储运图示标志应符合GB/T 191的规定。</w:t>
      </w:r>
      <w:r>
        <w:rPr>
          <w:rFonts w:hint="eastAsia" w:ascii="宋体" w:hAnsi="宋体" w:cs="宋体"/>
          <w:snapToGrid w:val="0"/>
          <w:color w:val="auto"/>
        </w:rPr>
        <w:t>食品标签</w:t>
      </w:r>
      <w:r>
        <w:rPr>
          <w:rFonts w:hint="eastAsia" w:hAnsi="宋体" w:cs="宋体"/>
          <w:color w:val="auto"/>
        </w:rPr>
        <w:t>应符</w:t>
      </w:r>
      <w:r>
        <w:rPr>
          <w:rFonts w:hint="eastAsia" w:ascii="宋体" w:hAnsi="宋体" w:cs="宋体"/>
          <w:color w:val="auto"/>
        </w:rPr>
        <w:t>合GB 7718</w:t>
      </w:r>
      <w:r>
        <w:rPr>
          <w:rFonts w:hint="eastAsia" w:ascii="宋体" w:hAnsi="宋体" w:cs="宋体"/>
          <w:color w:val="auto"/>
          <w:szCs w:val="21"/>
        </w:rPr>
        <w:t>和GB 28050的规定。</w:t>
      </w:r>
    </w:p>
    <w:p>
      <w:pPr>
        <w:pStyle w:val="26"/>
        <w:widowControl/>
        <w:numPr>
          <w:ilvl w:val="1"/>
          <w:numId w:val="6"/>
        </w:numPr>
        <w:spacing w:beforeLines="50" w:afterLines="50"/>
        <w:jc w:val="left"/>
        <w:outlineLvl w:val="2"/>
        <w:rPr>
          <w:color w:val="auto"/>
        </w:rPr>
      </w:pPr>
      <w:r>
        <w:rPr>
          <w:rFonts w:hint="eastAsia" w:eastAsia="黑体" w:cs="黑体"/>
          <w:color w:val="auto"/>
          <w:kern w:val="0"/>
          <w:sz w:val="21"/>
          <w:szCs w:val="20"/>
        </w:rPr>
        <w:t xml:space="preserve"> 包装</w:t>
      </w:r>
    </w:p>
    <w:p>
      <w:pPr>
        <w:pStyle w:val="26"/>
        <w:widowControl/>
        <w:numPr>
          <w:ilvl w:val="2"/>
          <w:numId w:val="0"/>
        </w:numPr>
        <w:ind w:firstLine="420" w:firstLineChars="200"/>
        <w:jc w:val="left"/>
        <w:outlineLvl w:val="2"/>
        <w:rPr>
          <w:rFonts w:ascii="宋体" w:hAnsi="宋体" w:cs="宋体"/>
          <w:color w:val="auto"/>
        </w:rPr>
      </w:pPr>
      <w:r>
        <w:rPr>
          <w:rFonts w:hint="eastAsia" w:ascii="宋体" w:hAnsi="宋体" w:cs="宋体"/>
          <w:color w:val="auto"/>
          <w:kern w:val="0"/>
          <w:sz w:val="21"/>
          <w:szCs w:val="20"/>
        </w:rPr>
        <w:t>包装材料和容器应符合相关食品安全国家标准和有关规定，封口严密，包装牢固。</w:t>
      </w:r>
    </w:p>
    <w:p>
      <w:pPr>
        <w:pStyle w:val="26"/>
        <w:widowControl/>
        <w:numPr>
          <w:ilvl w:val="1"/>
          <w:numId w:val="6"/>
        </w:numPr>
        <w:spacing w:beforeLines="50" w:afterLines="50"/>
        <w:jc w:val="left"/>
        <w:outlineLvl w:val="2"/>
        <w:rPr>
          <w:color w:val="auto"/>
        </w:rPr>
      </w:pPr>
      <w:r>
        <w:rPr>
          <w:rFonts w:hint="eastAsia" w:eastAsia="黑体" w:cs="黑体"/>
          <w:color w:val="auto"/>
          <w:kern w:val="0"/>
          <w:sz w:val="21"/>
          <w:szCs w:val="20"/>
        </w:rPr>
        <w:t xml:space="preserve"> 运输</w:t>
      </w:r>
    </w:p>
    <w:p>
      <w:pPr>
        <w:pStyle w:val="26"/>
        <w:widowControl/>
        <w:autoSpaceDE w:val="0"/>
        <w:autoSpaceDN w:val="0"/>
        <w:ind w:firstLine="420" w:firstLineChars="200"/>
        <w:rPr>
          <w:color w:val="auto"/>
        </w:rPr>
      </w:pPr>
      <w:r>
        <w:rPr>
          <w:rFonts w:hint="eastAsia" w:ascii="宋体"/>
          <w:color w:val="auto"/>
          <w:kern w:val="0"/>
          <w:sz w:val="21"/>
          <w:szCs w:val="20"/>
        </w:rPr>
        <w:t>运输工具应具有防尘、防雨设施，保持清洁卫生；不得与其他有毒、有害、易污染的物品混运。</w:t>
      </w:r>
    </w:p>
    <w:p>
      <w:pPr>
        <w:pStyle w:val="26"/>
        <w:widowControl/>
        <w:numPr>
          <w:ilvl w:val="1"/>
          <w:numId w:val="6"/>
        </w:numPr>
        <w:spacing w:beforeLines="50" w:afterLines="50"/>
        <w:jc w:val="left"/>
        <w:outlineLvl w:val="2"/>
        <w:rPr>
          <w:color w:val="auto"/>
        </w:rPr>
      </w:pPr>
      <w:r>
        <w:rPr>
          <w:rFonts w:hint="eastAsia" w:eastAsia="黑体" w:cs="黑体"/>
          <w:color w:val="auto"/>
          <w:kern w:val="0"/>
          <w:sz w:val="21"/>
          <w:szCs w:val="20"/>
        </w:rPr>
        <w:t xml:space="preserve"> 贮存</w:t>
      </w:r>
    </w:p>
    <w:p>
      <w:pPr>
        <w:pStyle w:val="26"/>
        <w:widowControl/>
        <w:autoSpaceDE w:val="0"/>
        <w:autoSpaceDN w:val="0"/>
        <w:ind w:firstLine="420" w:firstLineChars="200"/>
        <w:rPr>
          <w:rFonts w:hAnsi="宋体"/>
          <w:color w:val="auto"/>
        </w:rPr>
      </w:pPr>
      <w:r>
        <w:rPr>
          <w:rFonts w:hint="eastAsia" w:ascii="宋体" w:hAnsi="宋体"/>
          <w:color w:val="auto"/>
          <w:kern w:val="0"/>
          <w:sz w:val="21"/>
          <w:szCs w:val="20"/>
        </w:rPr>
        <w:t>贮存场所应清洁、阴凉、通风、干燥，不应直接接触潮湿地面，不应与有碍食品卫生的物品一起存放。</w:t>
      </w:r>
    </w:p>
    <w:p>
      <w:pPr>
        <w:pStyle w:val="26"/>
        <w:widowControl/>
        <w:autoSpaceDE w:val="0"/>
        <w:autoSpaceDN w:val="0"/>
        <w:ind w:firstLine="480" w:firstLineChars="200"/>
        <w:rPr>
          <w:color w:val="auto"/>
        </w:rPr>
      </w:pPr>
    </w:p>
    <w:p>
      <w:pPr>
        <w:pStyle w:val="26"/>
        <w:widowControl/>
        <w:autoSpaceDE w:val="0"/>
        <w:autoSpaceDN w:val="0"/>
        <w:spacing w:line="300" w:lineRule="exact"/>
        <w:ind w:firstLine="480" w:firstLineChars="200"/>
        <w:rPr>
          <w:color w:val="auto"/>
          <w:u w:val="thick"/>
        </w:rPr>
      </w:pPr>
    </w:p>
    <w:p>
      <w:pPr>
        <w:pStyle w:val="52"/>
        <w:spacing w:line="300" w:lineRule="exact"/>
        <w:ind w:firstLine="420"/>
        <w:rPr>
          <w:color w:val="auto"/>
          <w:u w:val="thick"/>
        </w:rPr>
      </w:pPr>
      <w:r>
        <w:rPr>
          <w:color w:val="auto"/>
          <w:u w:val="thick"/>
        </w:rPr>
        <w:pict>
          <v:shape id="_x0000_s1037" o:spid="_x0000_s1037" o:spt="32" type="#_x0000_t32" style="position:absolute;left:0pt;margin-left:172.45pt;margin-top:8.95pt;height:0pt;width:118pt;z-index:251669504;mso-width-relative:page;mso-height-relative:page;" o:connectortype="straight" filled="f" coordsize="21600,21600">
            <v:path arrowok="t"/>
            <v:fill on="f" focussize="0,0"/>
            <v:stroke weight="1.25pt"/>
            <v:imagedata o:title=""/>
            <o:lock v:ext="edit"/>
          </v:shape>
        </w:pict>
      </w:r>
    </w:p>
    <w:sectPr>
      <w:headerReference r:id="rId5" w:type="default"/>
      <w:footerReference r:id="rId6" w:type="default"/>
      <w:pgSz w:w="11907" w:h="16839"/>
      <w:pgMar w:top="1418" w:right="1418" w:bottom="1418" w:left="1418" w:header="1134" w:footer="1134"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新宋体">
    <w:panose1 w:val="02010609030101010101"/>
    <w:charset w:val="86"/>
    <w:family w:val="modern"/>
    <w:pitch w:val="default"/>
    <w:sig w:usb0="000000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方正细黑一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rPr>
        <w:rStyle w:val="32"/>
      </w:rPr>
    </w:pPr>
    <w:r>
      <w:fldChar w:fldCharType="begin"/>
    </w:r>
    <w:r>
      <w:rPr>
        <w:rStyle w:val="32"/>
      </w:rPr>
      <w:instrText xml:space="preserve">PAGE  </w:instrText>
    </w:r>
    <w:r>
      <w:fldChar w:fldCharType="separate"/>
    </w:r>
    <w:r>
      <w:rPr>
        <w:rStyle w:val="32"/>
      </w:rP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rPr>
        <w:rStyle w:val="32"/>
      </w:rPr>
    </w:pPr>
    <w:r>
      <w:fldChar w:fldCharType="begin"/>
    </w:r>
    <w:r>
      <w:rPr>
        <w:rStyle w:val="32"/>
      </w:rPr>
      <w:instrText xml:space="preserve">PAGE  </w:instrText>
    </w:r>
    <w:r>
      <w:fldChar w:fldCharType="separate"/>
    </w:r>
    <w:r>
      <w:rPr>
        <w:rStyle w:val="32"/>
      </w:rPr>
      <w:t>4</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pPr>
  </w:p>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right"/>
      <w:rPr>
        <w:rFonts w:eastAsia="黑体"/>
      </w:rPr>
    </w:pPr>
    <w:r>
      <w:rPr>
        <w:rFonts w:hint="eastAsia" w:ascii="黑体" w:hAnsi="黑体" w:eastAsia="黑体" w:cs="黑体"/>
        <w:sz w:val="21"/>
        <w:szCs w:val="21"/>
      </w:rPr>
      <w:t>Q/QFT 0001S-2021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17326A"/>
    <w:multiLevelType w:val="multilevel"/>
    <w:tmpl w:val="E417326A"/>
    <w:lvl w:ilvl="0" w:tentative="0">
      <w:start w:val="1"/>
      <w:numFmt w:val="none"/>
      <w:suff w:val="nothing"/>
      <w:lvlText w:val="%1"/>
      <w:lvlJc w:val="left"/>
      <w:pPr>
        <w:tabs>
          <w:tab w:val="left" w:pos="0"/>
        </w:tabs>
        <w:ind w:left="0" w:firstLine="0"/>
      </w:pPr>
      <w:rPr>
        <w:rFonts w:hint="default" w:ascii="Times New Roman" w:hAnsi="Times New Roman" w:cs="Times New Roman"/>
        <w:b/>
        <w:i w:val="0"/>
        <w:sz w:val="21"/>
      </w:rPr>
    </w:lvl>
    <w:lvl w:ilvl="1" w:tentative="0">
      <w:start w:val="1"/>
      <w:numFmt w:val="decimal"/>
      <w:suff w:val="nothing"/>
      <w:lvlText w:val="%1%2　"/>
      <w:lvlJc w:val="left"/>
      <w:pPr>
        <w:tabs>
          <w:tab w:val="left" w:pos="0"/>
        </w:tabs>
        <w:ind w:left="0" w:firstLine="0"/>
      </w:pPr>
      <w:rPr>
        <w:rFonts w:hint="eastAsia" w:ascii="黑体" w:hAnsi="Times New Roman" w:eastAsia="黑体" w:cs="黑体"/>
        <w:b w:val="0"/>
        <w:i w:val="0"/>
        <w:sz w:val="21"/>
      </w:rPr>
    </w:lvl>
    <w:lvl w:ilvl="2" w:tentative="0">
      <w:start w:val="1"/>
      <w:numFmt w:val="decimal"/>
      <w:suff w:val="nothing"/>
      <w:lvlText w:val="%1%2.%3　"/>
      <w:lvlJc w:val="left"/>
      <w:pPr>
        <w:tabs>
          <w:tab w:val="left" w:pos="0"/>
        </w:tabs>
        <w:ind w:left="0" w:firstLine="0"/>
      </w:pPr>
      <w:rPr>
        <w:rFonts w:hint="eastAsia" w:ascii="黑体" w:hAnsi="Times New Roman" w:eastAsia="黑体" w:cs="黑体"/>
        <w:b w:val="0"/>
        <w:i w:val="0"/>
        <w:sz w:val="21"/>
      </w:rPr>
    </w:lvl>
    <w:lvl w:ilvl="3" w:tentative="0">
      <w:start w:val="1"/>
      <w:numFmt w:val="decimal"/>
      <w:suff w:val="nothing"/>
      <w:lvlText w:val="%1%2.%3.%4　"/>
      <w:lvlJc w:val="left"/>
      <w:pPr>
        <w:tabs>
          <w:tab w:val="left" w:pos="0"/>
        </w:tabs>
        <w:ind w:left="0" w:firstLine="0"/>
      </w:pPr>
      <w:rPr>
        <w:rFonts w:hint="eastAsia" w:ascii="黑体" w:hAnsi="Times New Roman" w:eastAsia="黑体" w:cs="黑体"/>
        <w:b w:val="0"/>
        <w:i w:val="0"/>
        <w:sz w:val="21"/>
      </w:rPr>
    </w:lvl>
    <w:lvl w:ilvl="4" w:tentative="0">
      <w:start w:val="1"/>
      <w:numFmt w:val="decimal"/>
      <w:suff w:val="nothing"/>
      <w:lvlText w:val="%1%2.%3.%4.%5　"/>
      <w:lvlJc w:val="left"/>
      <w:pPr>
        <w:tabs>
          <w:tab w:val="left" w:pos="0"/>
        </w:tabs>
        <w:ind w:left="0" w:firstLine="0"/>
      </w:pPr>
      <w:rPr>
        <w:rFonts w:hint="eastAsia" w:ascii="黑体" w:hAnsi="Times New Roman" w:eastAsia="黑体" w:cs="黑体"/>
        <w:b w:val="0"/>
        <w:i w:val="0"/>
        <w:sz w:val="21"/>
      </w:rPr>
    </w:lvl>
    <w:lvl w:ilvl="5" w:tentative="0">
      <w:start w:val="1"/>
      <w:numFmt w:val="decimal"/>
      <w:suff w:val="nothing"/>
      <w:lvlText w:val="%1%2.%3.%4.%5.%6　"/>
      <w:lvlJc w:val="left"/>
      <w:pPr>
        <w:tabs>
          <w:tab w:val="left" w:pos="0"/>
        </w:tabs>
        <w:ind w:left="0" w:firstLine="0"/>
      </w:pPr>
      <w:rPr>
        <w:rFonts w:hint="eastAsia" w:ascii="黑体" w:hAnsi="Times New Roman" w:eastAsia="黑体" w:cs="黑体"/>
        <w:b w:val="0"/>
        <w:i w:val="0"/>
        <w:sz w:val="21"/>
      </w:rPr>
    </w:lvl>
    <w:lvl w:ilvl="6" w:tentative="0">
      <w:start w:val="1"/>
      <w:numFmt w:val="decimal"/>
      <w:suff w:val="nothing"/>
      <w:lvlText w:val="%1%2.%3.%4.%5.%6.%7　"/>
      <w:lvlJc w:val="left"/>
      <w:pPr>
        <w:tabs>
          <w:tab w:val="left" w:pos="0"/>
        </w:tabs>
        <w:ind w:left="0" w:firstLine="0"/>
      </w:pPr>
      <w:rPr>
        <w:rFonts w:hint="eastAsia" w:ascii="黑体" w:hAnsi="Times New Roman" w:eastAsia="黑体" w:cs="黑体"/>
        <w:b w:val="0"/>
        <w:i w:val="0"/>
        <w:sz w:val="21"/>
      </w:rPr>
    </w:lvl>
    <w:lvl w:ilvl="7" w:tentative="0">
      <w:start w:val="1"/>
      <w:numFmt w:val="decimal"/>
      <w:lvlText w:val="%1.%2.%3.%4.%5.%6.%7.%8"/>
      <w:lvlJc w:val="left"/>
      <w:pPr>
        <w:tabs>
          <w:tab w:val="left" w:pos="4351"/>
        </w:tabs>
        <w:ind w:left="3972" w:hanging="1418"/>
      </w:pPr>
    </w:lvl>
    <w:lvl w:ilvl="8" w:tentative="0">
      <w:start w:val="1"/>
      <w:numFmt w:val="decimal"/>
      <w:lvlText w:val="%1.%2.%3.%4.%5.%6.%7.%8.%9"/>
      <w:lvlJc w:val="left"/>
      <w:pPr>
        <w:tabs>
          <w:tab w:val="left" w:pos="4777"/>
        </w:tabs>
        <w:ind w:left="4677" w:hanging="1700"/>
      </w:pPr>
    </w:lvl>
  </w:abstractNum>
  <w:abstractNum w:abstractNumId="1">
    <w:nsid w:val="00000018"/>
    <w:multiLevelType w:val="multilevel"/>
    <w:tmpl w:val="00000018"/>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05"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suff w:val="nothing"/>
      <w:lvlText w:val="%1%2.%3.%4　"/>
      <w:lvlJc w:val="left"/>
      <w:pPr>
        <w:ind w:left="1985"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2E1E616F"/>
    <w:multiLevelType w:val="multilevel"/>
    <w:tmpl w:val="2E1E616F"/>
    <w:lvl w:ilvl="0" w:tentative="0">
      <w:start w:val="4"/>
      <w:numFmt w:val="decimal"/>
      <w:lvlText w:val="%1"/>
      <w:lvlJc w:val="left"/>
      <w:pPr>
        <w:ind w:left="360" w:hanging="360"/>
      </w:pPr>
      <w:rPr>
        <w:rFonts w:hint="default" w:eastAsia="黑体" w:cs="黑体"/>
        <w:sz w:val="21"/>
      </w:rPr>
    </w:lvl>
    <w:lvl w:ilvl="1" w:tentative="0">
      <w:start w:val="3"/>
      <w:numFmt w:val="decimal"/>
      <w:lvlText w:val="%1.%2"/>
      <w:lvlJc w:val="left"/>
      <w:pPr>
        <w:ind w:left="360" w:hanging="360"/>
      </w:pPr>
      <w:rPr>
        <w:rFonts w:hint="default" w:ascii="黑体" w:hAnsi="黑体" w:eastAsia="黑体" w:cs="黑体"/>
        <w:sz w:val="21"/>
      </w:rPr>
    </w:lvl>
    <w:lvl w:ilvl="2" w:tentative="0">
      <w:start w:val="1"/>
      <w:numFmt w:val="decimal"/>
      <w:lvlText w:val="%1.%2.%3"/>
      <w:lvlJc w:val="left"/>
      <w:pPr>
        <w:ind w:left="720" w:hanging="720"/>
      </w:pPr>
      <w:rPr>
        <w:rFonts w:hint="default" w:ascii="黑体" w:hAnsi="黑体" w:eastAsia="黑体" w:cs="黑体"/>
        <w:sz w:val="21"/>
      </w:rPr>
    </w:lvl>
    <w:lvl w:ilvl="3" w:tentative="0">
      <w:start w:val="1"/>
      <w:numFmt w:val="decimal"/>
      <w:lvlText w:val="%1.%2.%3.%4"/>
      <w:lvlJc w:val="left"/>
      <w:pPr>
        <w:ind w:left="720" w:hanging="720"/>
      </w:pPr>
      <w:rPr>
        <w:rFonts w:hint="default" w:eastAsia="黑体" w:cs="黑体"/>
        <w:sz w:val="21"/>
      </w:rPr>
    </w:lvl>
    <w:lvl w:ilvl="4" w:tentative="0">
      <w:start w:val="1"/>
      <w:numFmt w:val="decimal"/>
      <w:lvlText w:val="%1.%2.%3.%4.%5"/>
      <w:lvlJc w:val="left"/>
      <w:pPr>
        <w:ind w:left="1080" w:hanging="1080"/>
      </w:pPr>
      <w:rPr>
        <w:rFonts w:hint="default" w:eastAsia="黑体" w:cs="黑体"/>
        <w:sz w:val="21"/>
      </w:rPr>
    </w:lvl>
    <w:lvl w:ilvl="5" w:tentative="0">
      <w:start w:val="1"/>
      <w:numFmt w:val="decimal"/>
      <w:lvlText w:val="%1.%2.%3.%4.%5.%6"/>
      <w:lvlJc w:val="left"/>
      <w:pPr>
        <w:ind w:left="1080" w:hanging="1080"/>
      </w:pPr>
      <w:rPr>
        <w:rFonts w:hint="default" w:eastAsia="黑体" w:cs="黑体"/>
        <w:sz w:val="21"/>
      </w:rPr>
    </w:lvl>
    <w:lvl w:ilvl="6" w:tentative="0">
      <w:start w:val="1"/>
      <w:numFmt w:val="decimal"/>
      <w:lvlText w:val="%1.%2.%3.%4.%5.%6.%7"/>
      <w:lvlJc w:val="left"/>
      <w:pPr>
        <w:ind w:left="1440" w:hanging="1440"/>
      </w:pPr>
      <w:rPr>
        <w:rFonts w:hint="default" w:eastAsia="黑体" w:cs="黑体"/>
        <w:sz w:val="21"/>
      </w:rPr>
    </w:lvl>
    <w:lvl w:ilvl="7" w:tentative="0">
      <w:start w:val="1"/>
      <w:numFmt w:val="decimal"/>
      <w:lvlText w:val="%1.%2.%3.%4.%5.%6.%7.%8"/>
      <w:lvlJc w:val="left"/>
      <w:pPr>
        <w:ind w:left="1440" w:hanging="1440"/>
      </w:pPr>
      <w:rPr>
        <w:rFonts w:hint="default" w:eastAsia="黑体" w:cs="黑体"/>
        <w:sz w:val="21"/>
      </w:rPr>
    </w:lvl>
    <w:lvl w:ilvl="8" w:tentative="0">
      <w:start w:val="1"/>
      <w:numFmt w:val="decimal"/>
      <w:lvlText w:val="%1.%2.%3.%4.%5.%6.%7.%8.%9"/>
      <w:lvlJc w:val="left"/>
      <w:pPr>
        <w:ind w:left="1800" w:hanging="1800"/>
      </w:pPr>
      <w:rPr>
        <w:rFonts w:hint="default" w:eastAsia="黑体" w:cs="黑体"/>
        <w:sz w:val="21"/>
      </w:rPr>
    </w:lvl>
  </w:abstractNum>
  <w:abstractNum w:abstractNumId="3">
    <w:nsid w:val="37433659"/>
    <w:multiLevelType w:val="multilevel"/>
    <w:tmpl w:val="37433659"/>
    <w:lvl w:ilvl="0" w:tentative="0">
      <w:start w:val="6"/>
      <w:numFmt w:val="decimal"/>
      <w:lvlText w:val="%1"/>
      <w:lvlJc w:val="left"/>
      <w:pPr>
        <w:ind w:left="360" w:hanging="360"/>
      </w:pPr>
      <w:rPr>
        <w:rFonts w:hint="default" w:eastAsia="黑体" w:cs="黑体"/>
        <w:sz w:val="21"/>
      </w:rPr>
    </w:lvl>
    <w:lvl w:ilvl="1" w:tentative="0">
      <w:start w:val="2"/>
      <w:numFmt w:val="decimal"/>
      <w:lvlText w:val="%1.%2"/>
      <w:lvlJc w:val="left"/>
      <w:pPr>
        <w:ind w:left="360" w:hanging="360"/>
      </w:pPr>
      <w:rPr>
        <w:rFonts w:hint="default" w:ascii="黑体" w:hAnsi="黑体" w:eastAsia="黑体" w:cs="黑体"/>
        <w:sz w:val="21"/>
      </w:rPr>
    </w:lvl>
    <w:lvl w:ilvl="2" w:tentative="0">
      <w:start w:val="1"/>
      <w:numFmt w:val="decimal"/>
      <w:lvlText w:val="%1.%2.%3"/>
      <w:lvlJc w:val="left"/>
      <w:pPr>
        <w:ind w:left="720" w:hanging="720"/>
      </w:pPr>
      <w:rPr>
        <w:rFonts w:hint="default" w:eastAsia="黑体" w:cs="黑体"/>
        <w:sz w:val="21"/>
      </w:rPr>
    </w:lvl>
    <w:lvl w:ilvl="3" w:tentative="0">
      <w:start w:val="1"/>
      <w:numFmt w:val="decimal"/>
      <w:lvlText w:val="%1.%2.%3.%4"/>
      <w:lvlJc w:val="left"/>
      <w:pPr>
        <w:ind w:left="720" w:hanging="720"/>
      </w:pPr>
      <w:rPr>
        <w:rFonts w:hint="default" w:eastAsia="黑体" w:cs="黑体"/>
        <w:sz w:val="21"/>
      </w:rPr>
    </w:lvl>
    <w:lvl w:ilvl="4" w:tentative="0">
      <w:start w:val="1"/>
      <w:numFmt w:val="decimal"/>
      <w:lvlText w:val="%1.%2.%3.%4.%5"/>
      <w:lvlJc w:val="left"/>
      <w:pPr>
        <w:ind w:left="1080" w:hanging="1080"/>
      </w:pPr>
      <w:rPr>
        <w:rFonts w:hint="default" w:eastAsia="黑体" w:cs="黑体"/>
        <w:sz w:val="21"/>
      </w:rPr>
    </w:lvl>
    <w:lvl w:ilvl="5" w:tentative="0">
      <w:start w:val="1"/>
      <w:numFmt w:val="decimal"/>
      <w:lvlText w:val="%1.%2.%3.%4.%5.%6"/>
      <w:lvlJc w:val="left"/>
      <w:pPr>
        <w:ind w:left="1080" w:hanging="1080"/>
      </w:pPr>
      <w:rPr>
        <w:rFonts w:hint="default" w:eastAsia="黑体" w:cs="黑体"/>
        <w:sz w:val="21"/>
      </w:rPr>
    </w:lvl>
    <w:lvl w:ilvl="6" w:tentative="0">
      <w:start w:val="1"/>
      <w:numFmt w:val="decimal"/>
      <w:lvlText w:val="%1.%2.%3.%4.%5.%6.%7"/>
      <w:lvlJc w:val="left"/>
      <w:pPr>
        <w:ind w:left="1440" w:hanging="1440"/>
      </w:pPr>
      <w:rPr>
        <w:rFonts w:hint="default" w:eastAsia="黑体" w:cs="黑体"/>
        <w:sz w:val="21"/>
      </w:rPr>
    </w:lvl>
    <w:lvl w:ilvl="7" w:tentative="0">
      <w:start w:val="1"/>
      <w:numFmt w:val="decimal"/>
      <w:lvlText w:val="%1.%2.%3.%4.%5.%6.%7.%8"/>
      <w:lvlJc w:val="left"/>
      <w:pPr>
        <w:ind w:left="1440" w:hanging="1440"/>
      </w:pPr>
      <w:rPr>
        <w:rFonts w:hint="default" w:eastAsia="黑体" w:cs="黑体"/>
        <w:sz w:val="21"/>
      </w:rPr>
    </w:lvl>
    <w:lvl w:ilvl="8" w:tentative="0">
      <w:start w:val="1"/>
      <w:numFmt w:val="decimal"/>
      <w:lvlText w:val="%1.%2.%3.%4.%5.%6.%7.%8.%9"/>
      <w:lvlJc w:val="left"/>
      <w:pPr>
        <w:ind w:left="1800" w:hanging="1800"/>
      </w:pPr>
      <w:rPr>
        <w:rFonts w:hint="default" w:eastAsia="黑体" w:cs="黑体"/>
        <w:sz w:val="21"/>
      </w:rPr>
    </w:lvl>
  </w:abstractNum>
  <w:abstractNum w:abstractNumId="4">
    <w:nsid w:val="5B2F6984"/>
    <w:multiLevelType w:val="multilevel"/>
    <w:tmpl w:val="5B2F6984"/>
    <w:lvl w:ilvl="0" w:tentative="0">
      <w:start w:val="4"/>
      <w:numFmt w:val="lowerLetter"/>
      <w:lvlText w:val="%1）"/>
      <w:lvlJc w:val="left"/>
      <w:pPr>
        <w:ind w:left="780" w:hanging="360"/>
      </w:pPr>
      <w:rPr>
        <w:rFonts w:hint="default" w:ascii="宋体" w:hAnsi="宋体"/>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60032C5C"/>
    <w:multiLevelType w:val="multilevel"/>
    <w:tmpl w:val="60032C5C"/>
    <w:lvl w:ilvl="0" w:tentative="0">
      <w:start w:val="3"/>
      <w:numFmt w:val="decimal"/>
      <w:lvlText w:val="%1"/>
      <w:lvlJc w:val="left"/>
      <w:pPr>
        <w:ind w:left="360" w:hanging="360"/>
      </w:pPr>
      <w:rPr>
        <w:rFonts w:hint="default" w:ascii="黑体" w:eastAsia="黑体" w:cs="黑体"/>
        <w:sz w:val="21"/>
      </w:rPr>
    </w:lvl>
    <w:lvl w:ilvl="1" w:tentative="0">
      <w:start w:val="1"/>
      <w:numFmt w:val="decimal"/>
      <w:isLgl/>
      <w:lvlText w:val="%1.%2"/>
      <w:lvlJc w:val="left"/>
      <w:pPr>
        <w:ind w:left="360" w:hanging="360"/>
      </w:pPr>
      <w:rPr>
        <w:rFonts w:hint="default" w:ascii="黑体" w:hAnsi="黑体" w:eastAsia="黑体" w:cs="黑体"/>
        <w:sz w:val="21"/>
      </w:rPr>
    </w:lvl>
    <w:lvl w:ilvl="2" w:tentative="0">
      <w:start w:val="1"/>
      <w:numFmt w:val="decimal"/>
      <w:isLgl/>
      <w:lvlText w:val="%1.%2.%3"/>
      <w:lvlJc w:val="left"/>
      <w:pPr>
        <w:ind w:left="720" w:hanging="720"/>
      </w:pPr>
      <w:rPr>
        <w:rFonts w:hint="default" w:ascii="黑体" w:hAnsi="黑体" w:eastAsia="黑体" w:cs="黑体"/>
        <w:sz w:val="21"/>
      </w:rPr>
    </w:lvl>
    <w:lvl w:ilvl="3" w:tentative="0">
      <w:start w:val="1"/>
      <w:numFmt w:val="decimal"/>
      <w:isLgl/>
      <w:lvlText w:val="%1.%2.%3.%4"/>
      <w:lvlJc w:val="left"/>
      <w:pPr>
        <w:ind w:left="720" w:hanging="720"/>
      </w:pPr>
      <w:rPr>
        <w:rFonts w:hint="default" w:eastAsia="黑体" w:cs="黑体"/>
        <w:sz w:val="21"/>
      </w:rPr>
    </w:lvl>
    <w:lvl w:ilvl="4" w:tentative="0">
      <w:start w:val="1"/>
      <w:numFmt w:val="decimal"/>
      <w:isLgl/>
      <w:lvlText w:val="%1.%2.%3.%4.%5"/>
      <w:lvlJc w:val="left"/>
      <w:pPr>
        <w:ind w:left="1080" w:hanging="1080"/>
      </w:pPr>
      <w:rPr>
        <w:rFonts w:hint="default" w:eastAsia="黑体" w:cs="黑体"/>
        <w:sz w:val="21"/>
      </w:rPr>
    </w:lvl>
    <w:lvl w:ilvl="5" w:tentative="0">
      <w:start w:val="1"/>
      <w:numFmt w:val="decimal"/>
      <w:isLgl/>
      <w:lvlText w:val="%1.%2.%3.%4.%5.%6"/>
      <w:lvlJc w:val="left"/>
      <w:pPr>
        <w:ind w:left="1080" w:hanging="1080"/>
      </w:pPr>
      <w:rPr>
        <w:rFonts w:hint="default" w:eastAsia="黑体" w:cs="黑体"/>
        <w:sz w:val="21"/>
      </w:rPr>
    </w:lvl>
    <w:lvl w:ilvl="6" w:tentative="0">
      <w:start w:val="1"/>
      <w:numFmt w:val="decimal"/>
      <w:isLgl/>
      <w:lvlText w:val="%1.%2.%3.%4.%5.%6.%7"/>
      <w:lvlJc w:val="left"/>
      <w:pPr>
        <w:ind w:left="1440" w:hanging="1440"/>
      </w:pPr>
      <w:rPr>
        <w:rFonts w:hint="default" w:eastAsia="黑体" w:cs="黑体"/>
        <w:sz w:val="21"/>
      </w:rPr>
    </w:lvl>
    <w:lvl w:ilvl="7" w:tentative="0">
      <w:start w:val="1"/>
      <w:numFmt w:val="decimal"/>
      <w:isLgl/>
      <w:lvlText w:val="%1.%2.%3.%4.%5.%6.%7.%8"/>
      <w:lvlJc w:val="left"/>
      <w:pPr>
        <w:ind w:left="1440" w:hanging="1440"/>
      </w:pPr>
      <w:rPr>
        <w:rFonts w:hint="default" w:eastAsia="黑体" w:cs="黑体"/>
        <w:sz w:val="21"/>
      </w:rPr>
    </w:lvl>
    <w:lvl w:ilvl="8" w:tentative="0">
      <w:start w:val="1"/>
      <w:numFmt w:val="decimal"/>
      <w:isLgl/>
      <w:lvlText w:val="%1.%2.%3.%4.%5.%6.%7.%8.%9"/>
      <w:lvlJc w:val="left"/>
      <w:pPr>
        <w:ind w:left="1800" w:hanging="1800"/>
      </w:pPr>
      <w:rPr>
        <w:rFonts w:hint="default" w:eastAsia="黑体" w:cs="黑体"/>
        <w:sz w:val="21"/>
      </w:rPr>
    </w:lvl>
  </w:abstractNum>
  <w:num w:numId="1">
    <w:abstractNumId w:val="1"/>
  </w:num>
  <w:num w:numId="2">
    <w:abstractNumId w:val="0"/>
  </w:num>
  <w:num w:numId="3">
    <w:abstractNumId w:val="5"/>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rsids>
    <w:rsidRoot w:val="00172A27"/>
    <w:rsid w:val="00026BFE"/>
    <w:rsid w:val="0004020B"/>
    <w:rsid w:val="000649E4"/>
    <w:rsid w:val="000B3174"/>
    <w:rsid w:val="000C3E85"/>
    <w:rsid w:val="00172A27"/>
    <w:rsid w:val="00173678"/>
    <w:rsid w:val="00182E2C"/>
    <w:rsid w:val="00193715"/>
    <w:rsid w:val="001C5BD0"/>
    <w:rsid w:val="002A7969"/>
    <w:rsid w:val="00334166"/>
    <w:rsid w:val="00365ED7"/>
    <w:rsid w:val="00394BF4"/>
    <w:rsid w:val="003B7969"/>
    <w:rsid w:val="003D74FE"/>
    <w:rsid w:val="00417A87"/>
    <w:rsid w:val="00446B0C"/>
    <w:rsid w:val="0047162E"/>
    <w:rsid w:val="00493146"/>
    <w:rsid w:val="00560821"/>
    <w:rsid w:val="005646CC"/>
    <w:rsid w:val="00575653"/>
    <w:rsid w:val="005F7844"/>
    <w:rsid w:val="006012D0"/>
    <w:rsid w:val="006B1DD0"/>
    <w:rsid w:val="00775BD2"/>
    <w:rsid w:val="00810702"/>
    <w:rsid w:val="008243AB"/>
    <w:rsid w:val="0082626D"/>
    <w:rsid w:val="00831C7D"/>
    <w:rsid w:val="008525C3"/>
    <w:rsid w:val="00903618"/>
    <w:rsid w:val="009242B8"/>
    <w:rsid w:val="009E2817"/>
    <w:rsid w:val="00A00341"/>
    <w:rsid w:val="00AA21E2"/>
    <w:rsid w:val="00AD3422"/>
    <w:rsid w:val="00AD59F4"/>
    <w:rsid w:val="00B13D64"/>
    <w:rsid w:val="00B40C89"/>
    <w:rsid w:val="00B60B80"/>
    <w:rsid w:val="00BC0EFF"/>
    <w:rsid w:val="00C25B3B"/>
    <w:rsid w:val="00C4046B"/>
    <w:rsid w:val="00CC122E"/>
    <w:rsid w:val="00D54B77"/>
    <w:rsid w:val="00DD4B5E"/>
    <w:rsid w:val="00E75DE2"/>
    <w:rsid w:val="00F020A9"/>
    <w:rsid w:val="00F870EF"/>
    <w:rsid w:val="00FA4AB1"/>
    <w:rsid w:val="00FC2238"/>
    <w:rsid w:val="05636D99"/>
    <w:rsid w:val="06F2634E"/>
    <w:rsid w:val="095C628D"/>
    <w:rsid w:val="0A744A0C"/>
    <w:rsid w:val="0BB70D65"/>
    <w:rsid w:val="0DBF1C9E"/>
    <w:rsid w:val="105114C9"/>
    <w:rsid w:val="11887F42"/>
    <w:rsid w:val="12684D0C"/>
    <w:rsid w:val="13931E34"/>
    <w:rsid w:val="15905AA9"/>
    <w:rsid w:val="16832FC4"/>
    <w:rsid w:val="189925C2"/>
    <w:rsid w:val="18BE6AF3"/>
    <w:rsid w:val="1A780490"/>
    <w:rsid w:val="1B224F7D"/>
    <w:rsid w:val="1E3F23E5"/>
    <w:rsid w:val="1E8C4327"/>
    <w:rsid w:val="1EA53AAE"/>
    <w:rsid w:val="1EE160A3"/>
    <w:rsid w:val="20384D21"/>
    <w:rsid w:val="20700904"/>
    <w:rsid w:val="20961D40"/>
    <w:rsid w:val="20B05BF9"/>
    <w:rsid w:val="213D4EAE"/>
    <w:rsid w:val="21AF5FDB"/>
    <w:rsid w:val="22A5638B"/>
    <w:rsid w:val="23FB053E"/>
    <w:rsid w:val="24E66565"/>
    <w:rsid w:val="25957F56"/>
    <w:rsid w:val="26B30E79"/>
    <w:rsid w:val="28775424"/>
    <w:rsid w:val="28845916"/>
    <w:rsid w:val="28D22714"/>
    <w:rsid w:val="2A3D782D"/>
    <w:rsid w:val="2A796AE9"/>
    <w:rsid w:val="2ADA30AD"/>
    <w:rsid w:val="2C8F2285"/>
    <w:rsid w:val="2CB47814"/>
    <w:rsid w:val="2E1376AA"/>
    <w:rsid w:val="2E7B72D6"/>
    <w:rsid w:val="34724744"/>
    <w:rsid w:val="34D402D0"/>
    <w:rsid w:val="352670DE"/>
    <w:rsid w:val="35BF5A3C"/>
    <w:rsid w:val="35C94F3C"/>
    <w:rsid w:val="37CC3E79"/>
    <w:rsid w:val="39BF5841"/>
    <w:rsid w:val="3A201C42"/>
    <w:rsid w:val="3A2D086B"/>
    <w:rsid w:val="3A516240"/>
    <w:rsid w:val="3BB75B75"/>
    <w:rsid w:val="3D174E77"/>
    <w:rsid w:val="3E2B38FC"/>
    <w:rsid w:val="3F7F6F7E"/>
    <w:rsid w:val="409402E1"/>
    <w:rsid w:val="41851326"/>
    <w:rsid w:val="41B217E3"/>
    <w:rsid w:val="43B62CE0"/>
    <w:rsid w:val="447C51DC"/>
    <w:rsid w:val="44E65DED"/>
    <w:rsid w:val="47094AA3"/>
    <w:rsid w:val="495350F4"/>
    <w:rsid w:val="49705666"/>
    <w:rsid w:val="49B303BC"/>
    <w:rsid w:val="49D10E1D"/>
    <w:rsid w:val="4A5269A4"/>
    <w:rsid w:val="4A7474CA"/>
    <w:rsid w:val="4B6274C6"/>
    <w:rsid w:val="4B9F0982"/>
    <w:rsid w:val="4CB40EE6"/>
    <w:rsid w:val="4D3D500D"/>
    <w:rsid w:val="4FDE7BB2"/>
    <w:rsid w:val="506E483F"/>
    <w:rsid w:val="513A3F3E"/>
    <w:rsid w:val="53A00676"/>
    <w:rsid w:val="56030C51"/>
    <w:rsid w:val="5666662D"/>
    <w:rsid w:val="56FC62A3"/>
    <w:rsid w:val="57FC4736"/>
    <w:rsid w:val="5A2473D1"/>
    <w:rsid w:val="5CBC54EF"/>
    <w:rsid w:val="5D0C67B0"/>
    <w:rsid w:val="5F53277C"/>
    <w:rsid w:val="5FDC600D"/>
    <w:rsid w:val="60856199"/>
    <w:rsid w:val="61AC52DA"/>
    <w:rsid w:val="6441663B"/>
    <w:rsid w:val="65AF31D9"/>
    <w:rsid w:val="65FA6DF9"/>
    <w:rsid w:val="66135501"/>
    <w:rsid w:val="663845A7"/>
    <w:rsid w:val="665F18D4"/>
    <w:rsid w:val="69CA19E6"/>
    <w:rsid w:val="6ADF148E"/>
    <w:rsid w:val="6B7C7F84"/>
    <w:rsid w:val="6B9D3FCB"/>
    <w:rsid w:val="6C311CB8"/>
    <w:rsid w:val="6C7B36AD"/>
    <w:rsid w:val="6D195E24"/>
    <w:rsid w:val="6D377DE7"/>
    <w:rsid w:val="6D460EF7"/>
    <w:rsid w:val="6D4776A8"/>
    <w:rsid w:val="6EE13CAB"/>
    <w:rsid w:val="70D01B8B"/>
    <w:rsid w:val="7256088D"/>
    <w:rsid w:val="73484701"/>
    <w:rsid w:val="73AE24D6"/>
    <w:rsid w:val="74EB7A5F"/>
    <w:rsid w:val="766613D9"/>
    <w:rsid w:val="768D39A2"/>
    <w:rsid w:val="76FD2B17"/>
    <w:rsid w:val="791C56E2"/>
    <w:rsid w:val="79594DC3"/>
    <w:rsid w:val="7BF318F7"/>
    <w:rsid w:val="7E0E5E32"/>
    <w:rsid w:val="7EE407C1"/>
    <w:rsid w:val="7F7E14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rules v:ext="edit">
        <o:r id="V:Rule1" type="connector" idref="#_x0000_s1037"/>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2"/>
    <w:next w:val="1"/>
    <w:semiHidden/>
    <w:qFormat/>
    <w:uiPriority w:val="0"/>
  </w:style>
  <w:style w:type="paragraph" w:styleId="12">
    <w:name w:val="toc 6"/>
    <w:basedOn w:val="13"/>
    <w:next w:val="1"/>
    <w:semiHidden/>
    <w:qFormat/>
    <w:uiPriority w:val="0"/>
  </w:style>
  <w:style w:type="paragraph" w:styleId="13">
    <w:name w:val="toc 5"/>
    <w:basedOn w:val="14"/>
    <w:next w:val="1"/>
    <w:semiHidden/>
    <w:qFormat/>
    <w:uiPriority w:val="0"/>
  </w:style>
  <w:style w:type="paragraph" w:styleId="14">
    <w:name w:val="toc 4"/>
    <w:basedOn w:val="15"/>
    <w:next w:val="1"/>
    <w:semiHidden/>
    <w:qFormat/>
    <w:uiPriority w:val="0"/>
  </w:style>
  <w:style w:type="paragraph" w:styleId="15">
    <w:name w:val="toc 3"/>
    <w:basedOn w:val="16"/>
    <w:next w:val="1"/>
    <w:semiHidden/>
    <w:qFormat/>
    <w:uiPriority w:val="0"/>
  </w:style>
  <w:style w:type="paragraph" w:styleId="16">
    <w:name w:val="toc 2"/>
    <w:basedOn w:val="17"/>
    <w:next w:val="1"/>
    <w:semiHidden/>
    <w:qFormat/>
    <w:uiPriority w:val="0"/>
  </w:style>
  <w:style w:type="paragraph" w:styleId="17">
    <w:name w:val="toc 1"/>
    <w:next w:val="1"/>
    <w:semiHidden/>
    <w:qFormat/>
    <w:uiPriority w:val="0"/>
    <w:pPr>
      <w:jc w:val="both"/>
    </w:pPr>
    <w:rPr>
      <w:rFonts w:ascii="宋体" w:hAnsi="Times New Roman" w:eastAsia="宋体" w:cs="Times New Roman"/>
      <w:sz w:val="21"/>
      <w:lang w:val="en-US" w:eastAsia="zh-CN" w:bidi="ar-SA"/>
    </w:rPr>
  </w:style>
  <w:style w:type="paragraph" w:styleId="18">
    <w:name w:val="Body Text Indent"/>
    <w:basedOn w:val="1"/>
    <w:link w:val="45"/>
    <w:qFormat/>
    <w:uiPriority w:val="0"/>
    <w:pPr>
      <w:spacing w:line="600" w:lineRule="exact"/>
      <w:ind w:firstLine="648" w:firstLineChars="200"/>
    </w:pPr>
    <w:rPr>
      <w:spacing w:val="12"/>
      <w:sz w:val="30"/>
      <w:szCs w:val="20"/>
    </w:rPr>
  </w:style>
  <w:style w:type="paragraph" w:styleId="19">
    <w:name w:val="HTML Address"/>
    <w:basedOn w:val="1"/>
    <w:qFormat/>
    <w:uiPriority w:val="0"/>
    <w:rPr>
      <w:i/>
      <w:iCs/>
    </w:rPr>
  </w:style>
  <w:style w:type="paragraph" w:styleId="20">
    <w:name w:val="toc 8"/>
    <w:basedOn w:val="11"/>
    <w:next w:val="1"/>
    <w:semiHidden/>
    <w:qFormat/>
    <w:uiPriority w:val="0"/>
  </w:style>
  <w:style w:type="paragraph" w:styleId="21">
    <w:name w:val="footer"/>
    <w:basedOn w:val="1"/>
    <w:uiPriority w:val="0"/>
    <w:pPr>
      <w:tabs>
        <w:tab w:val="center" w:pos="4153"/>
        <w:tab w:val="right" w:pos="8306"/>
      </w:tabs>
      <w:snapToGrid w:val="0"/>
      <w:ind w:right="210" w:rightChars="100"/>
      <w:jc w:val="right"/>
    </w:pPr>
    <w:rPr>
      <w:sz w:val="18"/>
      <w:szCs w:val="18"/>
    </w:rPr>
  </w:style>
  <w:style w:type="paragraph" w:styleId="22">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23">
    <w:name w:val="footnote text"/>
    <w:basedOn w:val="1"/>
    <w:semiHidden/>
    <w:qFormat/>
    <w:uiPriority w:val="0"/>
    <w:pPr>
      <w:snapToGrid w:val="0"/>
      <w:jc w:val="left"/>
    </w:pPr>
    <w:rPr>
      <w:sz w:val="18"/>
      <w:szCs w:val="18"/>
    </w:rPr>
  </w:style>
  <w:style w:type="paragraph" w:styleId="24">
    <w:name w:val="toc 9"/>
    <w:basedOn w:val="20"/>
    <w:next w:val="1"/>
    <w:semiHidden/>
    <w:qFormat/>
    <w:uiPriority w:val="0"/>
  </w:style>
  <w:style w:type="paragraph" w:styleId="25">
    <w:name w:val="HTML Preformatted"/>
    <w:basedOn w:val="1"/>
    <w:qFormat/>
    <w:uiPriority w:val="0"/>
    <w:rPr>
      <w:rFonts w:ascii="Courier New" w:hAnsi="Courier New" w:cs="Courier New"/>
      <w:sz w:val="20"/>
      <w:szCs w:val="20"/>
    </w:rPr>
  </w:style>
  <w:style w:type="paragraph" w:styleId="26">
    <w:name w:val="Normal (Web)"/>
    <w:basedOn w:val="1"/>
    <w:qFormat/>
    <w:uiPriority w:val="0"/>
    <w:rPr>
      <w:sz w:val="24"/>
    </w:rPr>
  </w:style>
  <w:style w:type="paragraph" w:styleId="27">
    <w:name w:val="Title"/>
    <w:basedOn w:val="1"/>
    <w:qFormat/>
    <w:uiPriority w:val="0"/>
    <w:pPr>
      <w:spacing w:before="240" w:after="60"/>
      <w:jc w:val="center"/>
      <w:outlineLvl w:val="0"/>
    </w:pPr>
    <w:rPr>
      <w:rFonts w:ascii="Arial" w:hAnsi="Arial" w:cs="Arial"/>
      <w:b/>
      <w:bCs/>
      <w:sz w:val="32"/>
      <w:szCs w:val="32"/>
    </w:rPr>
  </w:style>
  <w:style w:type="table" w:styleId="29">
    <w:name w:val="Table Grid"/>
    <w:basedOn w:val="2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Strong"/>
    <w:basedOn w:val="30"/>
    <w:qFormat/>
    <w:uiPriority w:val="0"/>
    <w:rPr>
      <w:b/>
      <w:bCs/>
    </w:rPr>
  </w:style>
  <w:style w:type="character" w:styleId="32">
    <w:name w:val="page number"/>
    <w:basedOn w:val="30"/>
    <w:qFormat/>
    <w:uiPriority w:val="0"/>
    <w:rPr>
      <w:rFonts w:ascii="Times New Roman" w:hAnsi="Times New Roman" w:eastAsia="宋体"/>
      <w:sz w:val="18"/>
    </w:rPr>
  </w:style>
  <w:style w:type="character" w:styleId="33">
    <w:name w:val="FollowedHyperlink"/>
    <w:basedOn w:val="30"/>
    <w:qFormat/>
    <w:uiPriority w:val="0"/>
    <w:rPr>
      <w:color w:val="800080"/>
      <w:u w:val="single"/>
    </w:rPr>
  </w:style>
  <w:style w:type="character" w:styleId="34">
    <w:name w:val="Emphasis"/>
    <w:basedOn w:val="30"/>
    <w:qFormat/>
    <w:uiPriority w:val="0"/>
    <w:rPr>
      <w:color w:val="CC0000"/>
    </w:rPr>
  </w:style>
  <w:style w:type="character" w:styleId="35">
    <w:name w:val="HTML Definition"/>
    <w:basedOn w:val="30"/>
    <w:qFormat/>
    <w:uiPriority w:val="0"/>
    <w:rPr>
      <w:i/>
      <w:iCs/>
    </w:rPr>
  </w:style>
  <w:style w:type="character" w:styleId="36">
    <w:name w:val="HTML Typewriter"/>
    <w:basedOn w:val="30"/>
    <w:qFormat/>
    <w:uiPriority w:val="0"/>
    <w:rPr>
      <w:rFonts w:ascii="Courier New" w:hAnsi="Courier New"/>
      <w:sz w:val="20"/>
      <w:szCs w:val="20"/>
    </w:rPr>
  </w:style>
  <w:style w:type="character" w:styleId="37">
    <w:name w:val="HTML Acronym"/>
    <w:basedOn w:val="30"/>
    <w:qFormat/>
    <w:uiPriority w:val="0"/>
  </w:style>
  <w:style w:type="character" w:styleId="38">
    <w:name w:val="HTML Variable"/>
    <w:basedOn w:val="30"/>
    <w:qFormat/>
    <w:uiPriority w:val="0"/>
    <w:rPr>
      <w:i/>
      <w:iCs/>
    </w:rPr>
  </w:style>
  <w:style w:type="character" w:styleId="39">
    <w:name w:val="Hyperlink"/>
    <w:qFormat/>
    <w:uiPriority w:val="0"/>
    <w:rPr>
      <w:rFonts w:ascii="Times New Roman" w:hAnsi="Times New Roman" w:eastAsia="宋体"/>
      <w:color w:val="auto"/>
      <w:spacing w:val="0"/>
      <w:w w:val="100"/>
      <w:position w:val="0"/>
      <w:sz w:val="21"/>
      <w:u w:val="none"/>
      <w:vertAlign w:val="baseline"/>
    </w:rPr>
  </w:style>
  <w:style w:type="character" w:styleId="40">
    <w:name w:val="HTML Code"/>
    <w:basedOn w:val="30"/>
    <w:qFormat/>
    <w:uiPriority w:val="0"/>
    <w:rPr>
      <w:rFonts w:ascii="Courier New" w:hAnsi="Courier New"/>
      <w:sz w:val="20"/>
      <w:szCs w:val="20"/>
    </w:rPr>
  </w:style>
  <w:style w:type="character" w:styleId="41">
    <w:name w:val="HTML Cite"/>
    <w:basedOn w:val="30"/>
    <w:qFormat/>
    <w:uiPriority w:val="0"/>
    <w:rPr>
      <w:i/>
      <w:iCs/>
    </w:rPr>
  </w:style>
  <w:style w:type="character" w:styleId="42">
    <w:name w:val="footnote reference"/>
    <w:basedOn w:val="30"/>
    <w:semiHidden/>
    <w:qFormat/>
    <w:uiPriority w:val="0"/>
    <w:rPr>
      <w:vertAlign w:val="superscript"/>
    </w:rPr>
  </w:style>
  <w:style w:type="character" w:styleId="43">
    <w:name w:val="HTML Keyboard"/>
    <w:basedOn w:val="30"/>
    <w:qFormat/>
    <w:uiPriority w:val="0"/>
    <w:rPr>
      <w:rFonts w:ascii="Courier New" w:hAnsi="Courier New"/>
      <w:sz w:val="20"/>
      <w:szCs w:val="20"/>
    </w:rPr>
  </w:style>
  <w:style w:type="character" w:styleId="44">
    <w:name w:val="HTML Sample"/>
    <w:basedOn w:val="30"/>
    <w:qFormat/>
    <w:uiPriority w:val="0"/>
    <w:rPr>
      <w:rFonts w:ascii="Courier New" w:hAnsi="Courier New"/>
    </w:rPr>
  </w:style>
  <w:style w:type="character" w:customStyle="1" w:styleId="45">
    <w:name w:val="正文文本缩进 Char"/>
    <w:basedOn w:val="30"/>
    <w:link w:val="18"/>
    <w:qFormat/>
    <w:uiPriority w:val="0"/>
    <w:rPr>
      <w:spacing w:val="12"/>
      <w:kern w:val="2"/>
      <w:sz w:val="30"/>
    </w:rPr>
  </w:style>
  <w:style w:type="character" w:customStyle="1" w:styleId="46">
    <w:name w:val="页眉 Char"/>
    <w:basedOn w:val="30"/>
    <w:link w:val="22"/>
    <w:qFormat/>
    <w:uiPriority w:val="0"/>
    <w:rPr>
      <w:kern w:val="2"/>
      <w:sz w:val="18"/>
      <w:szCs w:val="18"/>
    </w:rPr>
  </w:style>
  <w:style w:type="character" w:customStyle="1" w:styleId="47">
    <w:name w:val="个人答复风格"/>
    <w:basedOn w:val="30"/>
    <w:qFormat/>
    <w:uiPriority w:val="0"/>
    <w:rPr>
      <w:rFonts w:ascii="Arial" w:hAnsi="Arial" w:eastAsia="宋体" w:cs="Arial"/>
      <w:color w:val="auto"/>
      <w:sz w:val="20"/>
    </w:rPr>
  </w:style>
  <w:style w:type="character" w:customStyle="1" w:styleId="48">
    <w:name w:val="gray3"/>
    <w:basedOn w:val="30"/>
    <w:qFormat/>
    <w:uiPriority w:val="0"/>
  </w:style>
  <w:style w:type="character" w:customStyle="1" w:styleId="49">
    <w:name w:val="个人撰写风格"/>
    <w:basedOn w:val="30"/>
    <w:qFormat/>
    <w:uiPriority w:val="0"/>
    <w:rPr>
      <w:rFonts w:ascii="Arial" w:hAnsi="Arial" w:eastAsia="宋体" w:cs="Arial"/>
      <w:color w:val="auto"/>
      <w:sz w:val="20"/>
    </w:rPr>
  </w:style>
  <w:style w:type="character" w:customStyle="1" w:styleId="50">
    <w:name w:val="发布"/>
    <w:basedOn w:val="30"/>
    <w:qFormat/>
    <w:uiPriority w:val="0"/>
    <w:rPr>
      <w:rFonts w:ascii="黑体" w:eastAsia="黑体"/>
      <w:spacing w:val="22"/>
      <w:w w:val="100"/>
      <w:position w:val="3"/>
      <w:sz w:val="28"/>
    </w:rPr>
  </w:style>
  <w:style w:type="character" w:customStyle="1" w:styleId="51">
    <w:name w:val="段 Char Char"/>
    <w:basedOn w:val="30"/>
    <w:link w:val="52"/>
    <w:qFormat/>
    <w:uiPriority w:val="0"/>
    <w:rPr>
      <w:rFonts w:ascii="宋体"/>
      <w:sz w:val="21"/>
      <w:lang w:val="en-US" w:eastAsia="zh-CN" w:bidi="ar-SA"/>
    </w:rPr>
  </w:style>
  <w:style w:type="paragraph" w:customStyle="1" w:styleId="52">
    <w:name w:val="段"/>
    <w:link w:val="5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3">
    <w:name w:val="目次、标准名称标题"/>
    <w:basedOn w:val="54"/>
    <w:next w:val="52"/>
    <w:qFormat/>
    <w:uiPriority w:val="0"/>
    <w:pPr>
      <w:spacing w:line="460" w:lineRule="exact"/>
    </w:pPr>
  </w:style>
  <w:style w:type="paragraph" w:customStyle="1" w:styleId="54">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55">
    <w:name w:val="发布日期"/>
    <w:qFormat/>
    <w:uiPriority w:val="0"/>
    <w:rPr>
      <w:rFonts w:ascii="Times New Roman" w:hAnsi="Times New Roman" w:eastAsia="黑体" w:cs="Times New Roman"/>
      <w:sz w:val="28"/>
      <w:lang w:val="en-US" w:eastAsia="zh-CN" w:bidi="ar-SA"/>
    </w:rPr>
  </w:style>
  <w:style w:type="paragraph" w:customStyle="1" w:styleId="56">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57">
    <w:name w:val="附录三级条标题"/>
    <w:basedOn w:val="58"/>
    <w:next w:val="52"/>
    <w:qFormat/>
    <w:uiPriority w:val="0"/>
    <w:pPr>
      <w:tabs>
        <w:tab w:val="left" w:pos="840"/>
      </w:tabs>
      <w:outlineLvl w:val="4"/>
    </w:pPr>
  </w:style>
  <w:style w:type="paragraph" w:customStyle="1" w:styleId="58">
    <w:name w:val="附录二级条标题"/>
    <w:basedOn w:val="59"/>
    <w:next w:val="52"/>
    <w:qFormat/>
    <w:uiPriority w:val="0"/>
    <w:pPr>
      <w:tabs>
        <w:tab w:val="left" w:pos="840"/>
      </w:tabs>
      <w:outlineLvl w:val="3"/>
    </w:pPr>
  </w:style>
  <w:style w:type="paragraph" w:customStyle="1" w:styleId="59">
    <w:name w:val="附录一级条标题"/>
    <w:basedOn w:val="60"/>
    <w:next w:val="52"/>
    <w:qFormat/>
    <w:uiPriority w:val="0"/>
    <w:pPr>
      <w:tabs>
        <w:tab w:val="left" w:pos="840"/>
      </w:tabs>
      <w:autoSpaceDN w:val="0"/>
      <w:spacing w:beforeLines="0" w:afterLines="0"/>
      <w:ind w:left="0" w:firstLine="0"/>
      <w:outlineLvl w:val="2"/>
    </w:pPr>
  </w:style>
  <w:style w:type="paragraph" w:customStyle="1" w:styleId="60">
    <w:name w:val="附录章标题"/>
    <w:next w:val="52"/>
    <w:qFormat/>
    <w:uiPriority w:val="0"/>
    <w:pPr>
      <w:tabs>
        <w:tab w:val="left" w:pos="840"/>
      </w:tabs>
      <w:wordWrap w:val="0"/>
      <w:overflowPunct w:val="0"/>
      <w:autoSpaceDE w:val="0"/>
      <w:spacing w:beforeLines="50" w:afterLines="50"/>
      <w:ind w:left="840" w:hanging="420"/>
      <w:jc w:val="both"/>
      <w:textAlignment w:val="baseline"/>
      <w:outlineLvl w:val="1"/>
    </w:pPr>
    <w:rPr>
      <w:rFonts w:ascii="黑体" w:hAnsi="Times New Roman" w:eastAsia="黑体" w:cs="Times New Roman"/>
      <w:kern w:val="21"/>
      <w:sz w:val="21"/>
      <w:lang w:val="en-US" w:eastAsia="zh-CN" w:bidi="ar-SA"/>
    </w:rPr>
  </w:style>
  <w:style w:type="paragraph" w:customStyle="1" w:styleId="61">
    <w:name w:val="实施日期"/>
    <w:basedOn w:val="55"/>
    <w:qFormat/>
    <w:uiPriority w:val="0"/>
    <w:pPr>
      <w:jc w:val="right"/>
    </w:pPr>
  </w:style>
  <w:style w:type="paragraph" w:customStyle="1" w:styleId="62">
    <w:name w:val="参考文献、索引标题"/>
    <w:basedOn w:val="54"/>
    <w:next w:val="1"/>
    <w:qFormat/>
    <w:uiPriority w:val="0"/>
    <w:pPr>
      <w:spacing w:after="200"/>
    </w:pPr>
    <w:rPr>
      <w:sz w:val="21"/>
    </w:rPr>
  </w:style>
  <w:style w:type="paragraph" w:customStyle="1" w:styleId="63">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64">
    <w:name w:val="列项◆（三级）"/>
    <w:qFormat/>
    <w:uiPriority w:val="0"/>
    <w:pPr>
      <w:tabs>
        <w:tab w:val="left" w:pos="960"/>
      </w:tabs>
      <w:ind w:left="800" w:leftChars="600" w:hanging="200" w:hangingChars="200"/>
    </w:pPr>
    <w:rPr>
      <w:rFonts w:ascii="宋体" w:hAnsi="Times New Roman" w:eastAsia="宋体" w:cs="Times New Roman"/>
      <w:sz w:val="21"/>
      <w:lang w:val="en-US" w:eastAsia="zh-CN" w:bidi="ar-SA"/>
    </w:rPr>
  </w:style>
  <w:style w:type="paragraph" w:customStyle="1" w:styleId="65">
    <w:name w:val="一级条标题"/>
    <w:next w:val="52"/>
    <w:qFormat/>
    <w:uiPriority w:val="0"/>
    <w:pPr>
      <w:outlineLvl w:val="2"/>
    </w:pPr>
    <w:rPr>
      <w:rFonts w:ascii="Times New Roman" w:hAnsi="Times New Roman" w:eastAsia="黑体" w:cs="Times New Roman"/>
      <w:sz w:val="21"/>
      <w:lang w:val="en-US" w:eastAsia="zh-CN" w:bidi="ar-SA"/>
    </w:rPr>
  </w:style>
  <w:style w:type="paragraph" w:customStyle="1" w:styleId="66">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67">
    <w:name w:val="注："/>
    <w:next w:val="52"/>
    <w:qFormat/>
    <w:uiPriority w:val="0"/>
    <w:pPr>
      <w:widowControl w:val="0"/>
      <w:autoSpaceDE w:val="0"/>
      <w:autoSpaceDN w:val="0"/>
      <w:ind w:left="840" w:hanging="420"/>
      <w:jc w:val="both"/>
    </w:pPr>
    <w:rPr>
      <w:rFonts w:ascii="宋体" w:hAnsi="Times New Roman" w:eastAsia="宋体" w:cs="Times New Roman"/>
      <w:sz w:val="18"/>
      <w:lang w:val="en-US" w:eastAsia="zh-CN" w:bidi="ar-SA"/>
    </w:rPr>
  </w:style>
  <w:style w:type="paragraph" w:customStyle="1" w:styleId="68">
    <w:name w:val="文献分类号"/>
    <w:qFormat/>
    <w:uiPriority w:val="0"/>
    <w:pPr>
      <w:widowControl w:val="0"/>
      <w:textAlignment w:val="center"/>
    </w:pPr>
    <w:rPr>
      <w:rFonts w:ascii="Times New Roman" w:hAnsi="Times New Roman" w:eastAsia="黑体" w:cs="Times New Roman"/>
      <w:sz w:val="21"/>
      <w:lang w:val="en-US" w:eastAsia="zh-CN" w:bidi="ar-SA"/>
    </w:rPr>
  </w:style>
  <w:style w:type="paragraph" w:customStyle="1" w:styleId="69">
    <w:name w:val="标准书眉一"/>
    <w:qFormat/>
    <w:uiPriority w:val="0"/>
    <w:pPr>
      <w:jc w:val="both"/>
    </w:pPr>
    <w:rPr>
      <w:rFonts w:ascii="Times New Roman" w:hAnsi="Times New Roman" w:eastAsia="宋体" w:cs="Times New Roman"/>
      <w:lang w:val="en-US" w:eastAsia="zh-CN" w:bidi="ar-SA"/>
    </w:rPr>
  </w:style>
  <w:style w:type="paragraph" w:customStyle="1" w:styleId="70">
    <w:name w:val="列项——（一级）"/>
    <w:qFormat/>
    <w:uiPriority w:val="0"/>
    <w:pPr>
      <w:widowControl w:val="0"/>
      <w:tabs>
        <w:tab w:val="left" w:pos="854"/>
      </w:tabs>
      <w:ind w:left="840" w:leftChars="200" w:hanging="420" w:hangingChars="200"/>
      <w:jc w:val="both"/>
    </w:pPr>
    <w:rPr>
      <w:rFonts w:ascii="宋体" w:hAnsi="Times New Roman" w:eastAsia="宋体" w:cs="Times New Roman"/>
      <w:sz w:val="21"/>
      <w:lang w:val="en-US" w:eastAsia="zh-CN" w:bidi="ar-SA"/>
    </w:rPr>
  </w:style>
  <w:style w:type="paragraph" w:customStyle="1" w:styleId="71">
    <w:name w:val="列项●（二级）"/>
    <w:qFormat/>
    <w:uiPriority w:val="0"/>
    <w:pPr>
      <w:tabs>
        <w:tab w:val="left" w:pos="840"/>
      </w:tabs>
      <w:ind w:left="600" w:leftChars="400" w:hanging="200" w:hangingChars="200"/>
      <w:jc w:val="both"/>
    </w:pPr>
    <w:rPr>
      <w:rFonts w:ascii="宋体" w:hAnsi="Times New Roman" w:eastAsia="宋体" w:cs="Times New Roman"/>
      <w:sz w:val="21"/>
      <w:lang w:val="en-US" w:eastAsia="zh-CN" w:bidi="ar-SA"/>
    </w:rPr>
  </w:style>
  <w:style w:type="paragraph" w:customStyle="1" w:styleId="72">
    <w:name w:val="章标题"/>
    <w:next w:val="52"/>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73">
    <w:name w:val="标准标志"/>
    <w:next w:val="1"/>
    <w:qFormat/>
    <w:uiPriority w:val="0"/>
    <w:pPr>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74">
    <w:name w:val="编号列项（三级）"/>
    <w:qFormat/>
    <w:uiPriority w:val="0"/>
    <w:pPr>
      <w:ind w:left="800" w:leftChars="600" w:hanging="200" w:hangingChars="200"/>
    </w:pPr>
    <w:rPr>
      <w:rFonts w:ascii="宋体" w:hAnsi="Times New Roman" w:eastAsia="宋体" w:cs="Times New Roman"/>
      <w:sz w:val="21"/>
      <w:lang w:val="en-US" w:eastAsia="zh-CN" w:bidi="ar-SA"/>
    </w:rPr>
  </w:style>
  <w:style w:type="paragraph" w:customStyle="1" w:styleId="75">
    <w:name w:val="发布部门"/>
    <w:next w:val="52"/>
    <w:qFormat/>
    <w:uiPriority w:val="0"/>
    <w:pPr>
      <w:jc w:val="center"/>
    </w:pPr>
    <w:rPr>
      <w:rFonts w:ascii="宋体" w:hAnsi="Times New Roman" w:eastAsia="宋体" w:cs="Times New Roman"/>
      <w:b/>
      <w:spacing w:val="20"/>
      <w:w w:val="135"/>
      <w:sz w:val="36"/>
      <w:lang w:val="en-US" w:eastAsia="zh-CN" w:bidi="ar-SA"/>
    </w:rPr>
  </w:style>
  <w:style w:type="paragraph" w:customStyle="1" w:styleId="76">
    <w:name w:val="图表脚注"/>
    <w:next w:val="52"/>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77">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78">
    <w:name w:val="三级条标题"/>
    <w:basedOn w:val="79"/>
    <w:next w:val="52"/>
    <w:qFormat/>
    <w:uiPriority w:val="0"/>
    <w:pPr>
      <w:ind w:left="0"/>
      <w:outlineLvl w:val="4"/>
    </w:pPr>
  </w:style>
  <w:style w:type="paragraph" w:customStyle="1" w:styleId="79">
    <w:name w:val="二级条标题"/>
    <w:basedOn w:val="65"/>
    <w:next w:val="52"/>
    <w:qFormat/>
    <w:uiPriority w:val="0"/>
    <w:pPr>
      <w:ind w:left="840"/>
      <w:outlineLvl w:val="3"/>
    </w:pPr>
  </w:style>
  <w:style w:type="paragraph" w:customStyle="1" w:styleId="80">
    <w:name w:val="附录四级条标题"/>
    <w:basedOn w:val="57"/>
    <w:next w:val="52"/>
    <w:qFormat/>
    <w:uiPriority w:val="0"/>
    <w:pPr>
      <w:outlineLvl w:val="5"/>
    </w:pPr>
  </w:style>
  <w:style w:type="paragraph" w:customStyle="1" w:styleId="8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82">
    <w:name w:val="正文图标题"/>
    <w:next w:val="52"/>
    <w:qFormat/>
    <w:uiPriority w:val="0"/>
    <w:pPr>
      <w:tabs>
        <w:tab w:val="left" w:pos="1120"/>
      </w:tabs>
      <w:ind w:firstLine="400"/>
      <w:jc w:val="center"/>
    </w:pPr>
    <w:rPr>
      <w:rFonts w:ascii="黑体" w:hAnsi="Times New Roman" w:eastAsia="黑体" w:cs="Times New Roman"/>
      <w:sz w:val="21"/>
      <w:lang w:val="en-US" w:eastAsia="zh-CN" w:bidi="ar-SA"/>
    </w:rPr>
  </w:style>
  <w:style w:type="paragraph" w:customStyle="1" w:styleId="8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84">
    <w:name w:val="附录图标题"/>
    <w:next w:val="52"/>
    <w:qFormat/>
    <w:uiPriority w:val="0"/>
    <w:pPr>
      <w:tabs>
        <w:tab w:val="left" w:pos="360"/>
      </w:tabs>
      <w:jc w:val="center"/>
    </w:pPr>
    <w:rPr>
      <w:rFonts w:ascii="黑体" w:hAnsi="Times New Roman" w:eastAsia="黑体" w:cs="Times New Roman"/>
      <w:sz w:val="21"/>
      <w:lang w:val="en-US" w:eastAsia="zh-CN" w:bidi="ar-SA"/>
    </w:rPr>
  </w:style>
  <w:style w:type="paragraph" w:customStyle="1" w:styleId="8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86">
    <w:name w:val="四级条标题"/>
    <w:basedOn w:val="78"/>
    <w:next w:val="52"/>
    <w:qFormat/>
    <w:uiPriority w:val="0"/>
    <w:pPr>
      <w:outlineLvl w:val="5"/>
    </w:pPr>
  </w:style>
  <w:style w:type="paragraph" w:customStyle="1" w:styleId="87">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88">
    <w:name w:val="标准书眉_偶数页"/>
    <w:basedOn w:val="89"/>
    <w:next w:val="1"/>
    <w:qFormat/>
    <w:uiPriority w:val="0"/>
    <w:pPr>
      <w:tabs>
        <w:tab w:val="center" w:pos="4154"/>
        <w:tab w:val="right" w:pos="8306"/>
      </w:tabs>
      <w:jc w:val="left"/>
    </w:pPr>
  </w:style>
  <w:style w:type="paragraph" w:customStyle="1" w:styleId="89">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90">
    <w:name w:val="条文脚注"/>
    <w:basedOn w:val="23"/>
    <w:qFormat/>
    <w:uiPriority w:val="0"/>
    <w:pPr>
      <w:ind w:left="780" w:leftChars="200" w:hanging="360" w:hangingChars="200"/>
      <w:jc w:val="both"/>
    </w:pPr>
    <w:rPr>
      <w:rFonts w:ascii="宋体"/>
    </w:rPr>
  </w:style>
  <w:style w:type="paragraph" w:customStyle="1" w:styleId="91">
    <w:name w:val="附录标识"/>
    <w:basedOn w:val="54"/>
    <w:qFormat/>
    <w:uiPriority w:val="0"/>
    <w:pPr>
      <w:tabs>
        <w:tab w:val="left" w:pos="6405"/>
      </w:tabs>
      <w:spacing w:after="200"/>
    </w:pPr>
    <w:rPr>
      <w:sz w:val="21"/>
    </w:rPr>
  </w:style>
  <w:style w:type="paragraph" w:customStyle="1" w:styleId="92">
    <w:name w:val="五级条标题"/>
    <w:basedOn w:val="86"/>
    <w:next w:val="52"/>
    <w:qFormat/>
    <w:uiPriority w:val="0"/>
    <w:pPr>
      <w:outlineLvl w:val="6"/>
    </w:pPr>
  </w:style>
  <w:style w:type="paragraph" w:customStyle="1" w:styleId="93">
    <w:name w:val="封面标准代替信息"/>
    <w:basedOn w:val="94"/>
    <w:qFormat/>
    <w:uiPriority w:val="0"/>
    <w:pPr>
      <w:spacing w:before="57"/>
    </w:pPr>
    <w:rPr>
      <w:rFonts w:ascii="宋体"/>
      <w:sz w:val="21"/>
    </w:rPr>
  </w:style>
  <w:style w:type="paragraph" w:customStyle="1" w:styleId="94">
    <w:name w:val="封面标准号2"/>
    <w:basedOn w:val="95"/>
    <w:qFormat/>
    <w:uiPriority w:val="0"/>
    <w:pPr>
      <w:adjustRightInd w:val="0"/>
      <w:spacing w:before="357" w:line="280" w:lineRule="exact"/>
    </w:pPr>
  </w:style>
  <w:style w:type="paragraph" w:customStyle="1" w:styleId="95">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6">
    <w:name w:val="示例"/>
    <w:next w:val="52"/>
    <w:qFormat/>
    <w:uiPriority w:val="0"/>
    <w:pPr>
      <w:tabs>
        <w:tab w:val="left" w:pos="816"/>
      </w:tabs>
      <w:ind w:firstLine="419" w:firstLineChars="233"/>
      <w:jc w:val="both"/>
    </w:pPr>
    <w:rPr>
      <w:rFonts w:ascii="宋体" w:hAnsi="Times New Roman" w:eastAsia="宋体" w:cs="Times New Roman"/>
      <w:sz w:val="18"/>
      <w:lang w:val="en-US" w:eastAsia="zh-CN" w:bidi="ar-SA"/>
    </w:rPr>
  </w:style>
  <w:style w:type="paragraph" w:customStyle="1" w:styleId="97">
    <w:name w:val="标准称谓"/>
    <w:next w:val="1"/>
    <w:qFormat/>
    <w:uiPriority w:val="0"/>
    <w:pPr>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98">
    <w:name w:val="附录五级条标题"/>
    <w:basedOn w:val="80"/>
    <w:next w:val="52"/>
    <w:qFormat/>
    <w:uiPriority w:val="0"/>
    <w:pPr>
      <w:tabs>
        <w:tab w:val="left" w:pos="3827"/>
      </w:tabs>
      <w:ind w:left="3827" w:hanging="1276"/>
      <w:outlineLvl w:val="6"/>
    </w:pPr>
  </w:style>
  <w:style w:type="paragraph" w:customStyle="1" w:styleId="99">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100">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101">
    <w:name w:val="封面正文"/>
    <w:qFormat/>
    <w:uiPriority w:val="0"/>
    <w:pPr>
      <w:jc w:val="both"/>
    </w:pPr>
    <w:rPr>
      <w:rFonts w:ascii="Times New Roman" w:hAnsi="Times New Roman" w:eastAsia="宋体" w:cs="Times New Roman"/>
      <w:lang w:val="en-US" w:eastAsia="zh-CN" w:bidi="ar-SA"/>
    </w:rPr>
  </w:style>
  <w:style w:type="paragraph" w:customStyle="1" w:styleId="102">
    <w:name w:val="其他发布部门"/>
    <w:basedOn w:val="75"/>
    <w:qFormat/>
    <w:uiPriority w:val="0"/>
    <w:pPr>
      <w:spacing w:line="0" w:lineRule="atLeast"/>
    </w:pPr>
    <w:rPr>
      <w:rFonts w:ascii="黑体" w:eastAsia="黑体"/>
      <w:b w:val="0"/>
    </w:rPr>
  </w:style>
  <w:style w:type="paragraph" w:customStyle="1" w:styleId="103">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04">
    <w:name w:val="正文表标题"/>
    <w:next w:val="52"/>
    <w:qFormat/>
    <w:uiPriority w:val="0"/>
    <w:pPr>
      <w:tabs>
        <w:tab w:val="left" w:pos="760"/>
      </w:tabs>
      <w:ind w:left="717" w:hanging="317"/>
      <w:jc w:val="center"/>
    </w:pPr>
    <w:rPr>
      <w:rFonts w:ascii="黑体" w:hAnsi="Times New Roman" w:eastAsia="黑体" w:cs="Times New Roman"/>
      <w:sz w:val="21"/>
      <w:lang w:val="en-US" w:eastAsia="zh-CN" w:bidi="ar-SA"/>
    </w:rPr>
  </w:style>
  <w:style w:type="paragraph" w:customStyle="1" w:styleId="105">
    <w:name w:val="注×："/>
    <w:qFormat/>
    <w:uiPriority w:val="0"/>
    <w:pPr>
      <w:widowControl w:val="0"/>
      <w:tabs>
        <w:tab w:val="left" w:pos="630"/>
      </w:tabs>
      <w:autoSpaceDE w:val="0"/>
      <w:autoSpaceDN w:val="0"/>
      <w:ind w:left="900" w:hanging="500"/>
      <w:jc w:val="both"/>
    </w:pPr>
    <w:rPr>
      <w:rFonts w:ascii="宋体" w:hAnsi="Times New Roman" w:eastAsia="宋体" w:cs="Times New Roman"/>
      <w:sz w:val="18"/>
      <w:lang w:val="en-US" w:eastAsia="zh-CN" w:bidi="ar-SA"/>
    </w:rPr>
  </w:style>
  <w:style w:type="paragraph" w:customStyle="1" w:styleId="106">
    <w:name w:val="p0"/>
    <w:basedOn w:val="1"/>
    <w:qFormat/>
    <w:uiPriority w:val="0"/>
    <w:pPr>
      <w:widowControl/>
      <w:ind w:left="900" w:hanging="500"/>
    </w:pPr>
    <w:rPr>
      <w:kern w:val="0"/>
      <w:szCs w:val="21"/>
    </w:rPr>
  </w:style>
  <w:style w:type="paragraph" w:customStyle="1" w:styleId="107">
    <w:name w:val="Char Char2 Char"/>
    <w:basedOn w:val="1"/>
    <w:qFormat/>
    <w:uiPriority w:val="0"/>
    <w:pPr>
      <w:widowControl/>
      <w:spacing w:after="160" w:line="240" w:lineRule="exact"/>
      <w:jc w:val="left"/>
    </w:pPr>
    <w:rPr>
      <w:rFonts w:ascii="宋体" w:hAnsi="宋体"/>
      <w:kern w:val="0"/>
      <w:szCs w:val="21"/>
      <w:lang w:eastAsia="en-US"/>
    </w:rPr>
  </w:style>
  <w:style w:type="paragraph" w:customStyle="1" w:styleId="108">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109">
    <w:name w:val="附录表标题"/>
    <w:next w:val="52"/>
    <w:uiPriority w:val="0"/>
    <w:pPr>
      <w:tabs>
        <w:tab w:val="left" w:pos="360"/>
      </w:tabs>
      <w:jc w:val="center"/>
      <w:textAlignment w:val="baseline"/>
    </w:pPr>
    <w:rPr>
      <w:rFonts w:ascii="黑体" w:hAnsi="Times New Roman" w:eastAsia="黑体" w:cs="Times New Roman"/>
      <w:kern w:val="21"/>
      <w:sz w:val="21"/>
      <w:lang w:val="en-US" w:eastAsia="zh-CN" w:bidi="ar-SA"/>
    </w:rPr>
  </w:style>
  <w:style w:type="paragraph" w:customStyle="1" w:styleId="110">
    <w:name w:val="p17"/>
    <w:basedOn w:val="1"/>
    <w:uiPriority w:val="0"/>
    <w:pPr>
      <w:widowControl/>
      <w:ind w:firstLine="420"/>
    </w:pPr>
    <w:rPr>
      <w:rFonts w:hint="eastAsia" w:ascii="宋体" w:hAnsi="宋体"/>
      <w:kern w:val="0"/>
      <w:szCs w:val="21"/>
    </w:rPr>
  </w:style>
  <w:style w:type="paragraph" w:styleId="111">
    <w:name w:val="List Paragraph"/>
    <w:basedOn w:val="1"/>
    <w:unhideWhenUsed/>
    <w:uiPriority w:val="99"/>
    <w:pPr>
      <w:ind w:firstLine="420" w:firstLineChars="200"/>
    </w:pPr>
  </w:style>
  <w:style w:type="character" w:customStyle="1" w:styleId="112">
    <w:name w:val="段 Char"/>
    <w:basedOn w:val="30"/>
    <w:uiPriority w:val="0"/>
    <w:rPr>
      <w:rFonts w:ascii="宋体"/>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CNIS</Company>
  <Pages>6</Pages>
  <Words>472</Words>
  <Characters>2696</Characters>
  <Lines>22</Lines>
  <Paragraphs>6</Paragraphs>
  <TotalTime>70</TotalTime>
  <ScaleCrop>false</ScaleCrop>
  <LinksUpToDate>false</LinksUpToDate>
  <CharactersWithSpaces>3162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2020-11-23T13:15:00Z</dcterms:created>
  <dc:creator>微软用户</dc:creator>
  <cp:lastModifiedBy>浅</cp:lastModifiedBy>
  <cp:lastPrinted>2018-11-07T13:55:00Z</cp:lastPrinted>
  <dcterms:modified xsi:type="dcterms:W3CDTF">2021-07-22T01:26:33Z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2052-11.1.0.10314</vt:lpwstr>
  </property>
  <property fmtid="{D5CDD505-2E9C-101B-9397-08002B2CF9AE}" pid="4" name="ICV">
    <vt:lpwstr>0CFAA43331A548738A86FA924B898F14</vt:lpwstr>
  </property>
</Properties>
</file>