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98"/>
        <w:sectPr>
          <w:footerReference r:id="rId4" w:type="even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 w:num="1"/>
          <w:docGrid w:type="lines" w:linePitch="312" w:charSpace="0"/>
        </w:sectPr>
      </w:pPr>
      <w:bookmarkStart w:id="0" w:name="SectionMark0"/>
      <w:r>
        <w:rPr>
          <w:rFonts w:ascii="Times New Roman" w:hAnsi="Times New Roman" w:eastAsia="宋体" w:cs="Times New Roman"/>
          <w:lang w:val="en-US" w:eastAsia="zh-CN" w:bidi="ar-SA"/>
        </w:rPr>
        <w:pict>
          <v:line id="直线 2" o:spid="_x0000_s1026" style="position:absolute;left:0;margin-left:0pt;margin-top:172.9pt;height:0.05pt;width:470pt;rotation:0f;z-index:251665408;" o:ole="f" fillcolor="#FFFFFF" filled="f" o:preferrelative="t" stroked="t" coordsize="21600,21600">
            <v:fill on="f" color2="#FFFFFF" focus="0%"/>
            <v:stroke weight="1pt"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line id="直线 12" o:spid="_x0000_s1027" style="position:absolute;left:0;margin-left:0pt;margin-top:700.6pt;height:0.05pt;width:456.75pt;rotation:0f;z-index:251666432;" o:ole="f" fillcolor="#FFFFFF" filled="f" o:preferrelative="t" stroked="t" coordsize="21600,21600">
            <v:fill on="f" color2="#FFFFFF" focus="0%"/>
            <v:stroke weight="1pt"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7" o:spid="_x0000_s1028" type="#_x0000_t202" style="position:absolute;left:0;margin-left:-19.15pt;margin-top:701.65pt;height:28.6pt;width:495.9pt;mso-position-horizontal-relative:margin;mso-position-vertical-relative:margin;rotation:0f;z-index:251664384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pStyle w:val="70"/>
                    <w:spacing w:line="240" w:lineRule="auto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  <w:spacing w:val="0"/>
                      <w:w w:val="100"/>
                      <w:szCs w:val="36"/>
                    </w:rPr>
                    <w:t>贵州苗鼎生物科技有限公司</w:t>
                  </w:r>
                  <w:r>
                    <w:rPr>
                      <w:rFonts w:hint="eastAsia" w:eastAsia="宋体"/>
                      <w:spacing w:val="0"/>
                      <w:w w:val="100"/>
                      <w:szCs w:val="36"/>
                    </w:rPr>
                    <w:t xml:space="preserve"> </w:t>
                  </w:r>
                  <w:r>
                    <w:rPr>
                      <w:rStyle w:val="108"/>
                      <w:rFonts w:hint="eastAsia" w:ascii="黑体" w:hAnsi="黑体" w:eastAsia="黑体"/>
                    </w:rPr>
                    <w:t>发布</w:t>
                  </w:r>
                </w:p>
              </w:txbxContent>
            </v:textbox>
            <w10:anchorlock/>
          </v:shap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6" o:spid="_x0000_s1029" type="#_x0000_t202" style="position:absolute;left:0;margin-left:294pt;margin-top:674.3pt;height:24.6pt;width:159pt;mso-position-horizontal-relative:margin;mso-position-vertical-relative:margin;rotation:0f;z-index:251663360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pStyle w:val="71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</w:rPr>
                    <w:t>2020-09-14实施</w:t>
                  </w:r>
                </w:p>
              </w:txbxContent>
            </v:textbox>
            <w10:anchorlock/>
          </v:shap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5" o:spid="_x0000_s1030" type="#_x0000_t202" style="position:absolute;left:0;margin-left:0pt;margin-top:674.3pt;height:24.6pt;width:159pt;mso-position-horizontal-relative:margin;mso-position-vertical-relative:margin;rotation:0f;z-index:251662336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pStyle w:val="72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</w:rPr>
                    <w:t>2020-08-14 发布</w:t>
                  </w:r>
                </w:p>
              </w:txbxContent>
            </v:textbox>
            <w10:anchorlock/>
          </v:shap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4" o:spid="_x0000_s1031" type="#_x0000_t202" style="position:absolute;left:0;margin-left:0pt;margin-top:327.6pt;height:328.4pt;width:470pt;mso-position-horizontal-relative:margin;mso-position-vertical-relative:margin;rotation:0f;z-index:251661312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pStyle w:val="80"/>
                    <w:rPr>
                      <w:rFonts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</w:rPr>
                    <w:t>苗医神威酒（配制酒）</w:t>
                  </w:r>
                </w:p>
                <w:p>
                  <w:pPr>
                    <w:pStyle w:val="80"/>
                    <w:rPr>
                      <w:b/>
                    </w:rPr>
                  </w:pPr>
                </w:p>
                <w:p>
                  <w:pPr>
                    <w:pStyle w:val="82"/>
                  </w:pPr>
                </w:p>
                <w:p>
                  <w:pPr>
                    <w:pStyle w:val="65"/>
                  </w:pPr>
                </w:p>
                <w:p>
                  <w:pPr>
                    <w:pStyle w:val="76"/>
                  </w:pPr>
                </w:p>
                <w:p>
                  <w:pPr>
                    <w:pStyle w:val="73"/>
                  </w:pPr>
                </w:p>
              </w:txbxContent>
            </v:textbox>
            <w10:anchorlock/>
          </v:shap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3" o:spid="_x0000_s1032" type="#_x0000_t202" style="position:absolute;left:0;margin-left:26.25pt;margin-top:131.15pt;height:39pt;width:435.75pt;mso-position-horizontal-relative:margin;mso-position-vertical-relative:margin;rotation:0f;z-index:251660288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/>
                <w:p>
                  <w:pPr>
                    <w:jc w:val="right"/>
                    <w:rPr>
                      <w:rFonts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 xml:space="preserve">Q/MDSW 0005S-2020 </w:t>
                  </w:r>
                </w:p>
                <w:p>
                  <w:pPr>
                    <w:pStyle w:val="64"/>
                    <w:wordWrap w:val="0"/>
                  </w:pPr>
                </w:p>
              </w:txbxContent>
            </v:textbox>
            <w10:anchorlock/>
          </v:shap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8" o:spid="_x0000_s1033" type="#_x0000_t202" style="position:absolute;left:0;margin-left:231pt;margin-top:7.8pt;height:56.7pt;width:231pt;mso-position-horizontal-relative:margin;mso-position-vertical-relative:margin;rotation:0f;z-index:251659264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pStyle w:val="94"/>
                    <w:rPr>
                      <w:rFonts w:ascii="黑体" w:hAnsi="黑体" w:eastAsia="黑体"/>
                      <w:b w:val="0"/>
                      <w:szCs w:val="96"/>
                    </w:rPr>
                  </w:pPr>
                  <w:r>
                    <w:rPr>
                      <w:rFonts w:ascii="黑体" w:hAnsi="黑体" w:eastAsia="黑体"/>
                      <w:b w:val="0"/>
                      <w:szCs w:val="96"/>
                    </w:rPr>
                    <w:t>Q/</w:t>
                  </w:r>
                  <w:r>
                    <w:rPr>
                      <w:rFonts w:hint="eastAsia" w:ascii="黑体" w:hAnsi="黑体" w:eastAsia="黑体"/>
                      <w:b w:val="0"/>
                      <w:szCs w:val="96"/>
                    </w:rPr>
                    <w:t>MDSW</w:t>
                  </w:r>
                </w:p>
              </w:txbxContent>
            </v:textbox>
            <w10:anchorlock/>
          </v:shape>
        </w:pict>
      </w:r>
      <w:r>
        <w:rPr>
          <w:rFonts w:ascii="Times New Roman" w:hAnsi="Times New Roman" w:eastAsia="宋体" w:cs="Times New Roman"/>
          <w:lang w:val="en-US" w:eastAsia="zh-CN" w:bidi="ar-SA"/>
        </w:rPr>
        <w:pict>
          <v:shape id="fmFrame2" o:spid="_x0000_s1034" type="#_x0000_t202" style="position:absolute;left:0;margin-left:4.5pt;margin-top:91.7pt;height:30.8pt;width:457.5pt;mso-position-horizontal-relative:margin;mso-position-vertical-relative:margin;rotation:0f;z-index:251658240;" o:ole="f" fillcolor="#FFFFFF" filled="t" o:preferrelative="t" stroked="f" coordorigin="0,0" coordsize="21600,21600">
            <v:imagedata gain="65536f" blacklevel="0f" gamma="0"/>
            <o:lock v:ext="edit" position="f" selection="f" grouping="f" rotation="f" cropping="f" text="f" aspectratio="f"/>
            <v:textbox inset="0.00pt,0.00pt,0.00pt,0.00pt">
              <w:txbxContent>
                <w:p>
                  <w:pPr>
                    <w:pStyle w:val="79"/>
                    <w:rPr>
                      <w:rFonts w:ascii="黑体" w:hAnsi="黑体" w:eastAsia="黑体"/>
                    </w:rPr>
                  </w:pPr>
                  <w:r>
                    <w:rPr>
                      <w:rFonts w:hint="eastAsia" w:ascii="黑体" w:hAnsi="黑体" w:eastAsia="黑体"/>
                    </w:rPr>
                    <w:t>贵州省食品安全企业标准</w:t>
                  </w:r>
                </w:p>
              </w:txbxContent>
            </v:textbox>
            <w10:anchorlock/>
          </v:shape>
        </w:pict>
      </w:r>
    </w:p>
    <w:bookmarkEnd w:id="0"/>
    <w:p>
      <w:pPr>
        <w:pStyle w:val="46"/>
        <w:rPr>
          <w:rFonts w:ascii="黑体" w:hAnsi="黑体" w:eastAsia="黑体"/>
          <w:szCs w:val="32"/>
        </w:rPr>
      </w:pPr>
      <w:bookmarkStart w:id="1" w:name="SectionMark2"/>
      <w:r>
        <w:rPr>
          <w:rFonts w:hint="eastAsia" w:ascii="黑体" w:hAnsi="黑体" w:eastAsia="黑体"/>
          <w:szCs w:val="32"/>
        </w:rPr>
        <w:t>前  言</w:t>
      </w:r>
    </w:p>
    <w:p>
      <w:pPr>
        <w:numPr>
          <w:ilvl w:val="0"/>
          <w:numId w:val="1"/>
        </w:num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本标准根据GB/T 1.1-2009《标准化工作导则 </w:t>
      </w:r>
      <w:r>
        <w:rPr>
          <w:rFonts w:ascii="宋体" w:hAnsi="宋体" w:eastAsia="宋体" w:cs="Arial"/>
          <w:szCs w:val="21"/>
        </w:rPr>
        <w:t>第1部分：标准的结构和编写</w:t>
      </w:r>
      <w:r>
        <w:rPr>
          <w:rFonts w:hint="eastAsia" w:ascii="宋体" w:hAnsi="宋体" w:eastAsia="宋体"/>
          <w:szCs w:val="21"/>
        </w:rPr>
        <w:t>》而制定。</w:t>
      </w:r>
    </w:p>
    <w:p>
      <w:pPr>
        <w:numPr>
          <w:ilvl w:val="0"/>
          <w:numId w:val="1"/>
        </w:num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本标准由贵州苗鼎生物科技有限公司提出。</w:t>
      </w:r>
    </w:p>
    <w:p>
      <w:pPr>
        <w:numPr>
          <w:ilvl w:val="0"/>
          <w:numId w:val="1"/>
        </w:num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本标准起草单位：贵州苗鼎生物科技有限公司。</w:t>
      </w:r>
    </w:p>
    <w:p>
      <w:pPr>
        <w:numPr>
          <w:ilvl w:val="0"/>
          <w:numId w:val="1"/>
        </w:num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本标准主要起草人：张倩、陈俊虎。</w:t>
      </w:r>
    </w:p>
    <w:p>
      <w:pPr>
        <w:ind w:left="1"/>
        <w:jc w:val="center"/>
        <w:rPr>
          <w:rFonts w:ascii="宋体" w:hAnsi="宋体" w:eastAsia="宋体"/>
          <w:sz w:val="24"/>
        </w:rPr>
      </w:pPr>
    </w:p>
    <w:p>
      <w:pPr>
        <w:pStyle w:val="45"/>
        <w:ind w:firstLine="420"/>
        <w:rPr>
          <w:rFonts w:ascii="宋体" w:hAnsi="宋体" w:eastAsia="宋体"/>
        </w:rPr>
        <w:sectPr>
          <w:headerReference r:id="rId5" w:type="default"/>
          <w:footerReference r:id="rId6" w:type="default"/>
          <w:endnotePr>
            <w:numFmt w:val="decimal"/>
          </w:endnotePr>
          <w:pgSz w:w="11907" w:h="16839"/>
          <w:pgMar w:top="1418" w:right="1418" w:bottom="1418" w:left="1418" w:header="1134" w:footer="1134" w:gutter="0"/>
          <w:pgNumType w:fmt="upperRoman" w:start="1"/>
          <w:cols w:space="720" w:num="1"/>
          <w:docGrid w:type="lines" w:linePitch="312" w:charSpace="0"/>
        </w:sectPr>
      </w:pPr>
    </w:p>
    <w:bookmarkEnd w:id="1"/>
    <w:p>
      <w:pPr>
        <w:pStyle w:val="80"/>
        <w:spacing w:beforeLines="150" w:afterLines="150" w:line="240" w:lineRule="auto"/>
        <w:rPr>
          <w:rFonts w:hint="eastAsia" w:ascii="黑体" w:hAnsi="黑体" w:eastAsia="黑体"/>
          <w:sz w:val="32"/>
          <w:szCs w:val="32"/>
        </w:rPr>
      </w:pPr>
      <w:bookmarkStart w:id="2" w:name="SectionMark4"/>
      <w:r>
        <w:rPr>
          <w:rFonts w:hint="eastAsia" w:ascii="黑体" w:hAnsi="黑体" w:eastAsia="黑体"/>
          <w:sz w:val="32"/>
          <w:szCs w:val="32"/>
        </w:rPr>
        <w:t>苗医神威酒（配制酒）</w:t>
      </w:r>
    </w:p>
    <w:p>
      <w:pPr>
        <w:pStyle w:val="80"/>
        <w:spacing w:line="240" w:lineRule="auto"/>
        <w:rPr>
          <w:rFonts w:ascii="黑体" w:hAnsi="黑体" w:eastAsia="黑体"/>
          <w:sz w:val="16"/>
          <w:szCs w:val="16"/>
        </w:rPr>
      </w:pPr>
    </w:p>
    <w:p>
      <w:pPr>
        <w:numPr>
          <w:ilvl w:val="0"/>
          <w:numId w:val="2"/>
        </w:numPr>
        <w:spacing w:beforeLines="100" w:afterLines="100"/>
        <w:ind w:left="0" w:firstLine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范围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本标准规定了苗医神威酒（配制酒）的要求（含检验方法）、检验规则、标签、标志、包装、运输和贮存。</w:t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本标准适用于以白酒为基酒，</w:t>
      </w:r>
      <w:r>
        <w:rPr>
          <w:rFonts w:hint="eastAsia"/>
          <w:szCs w:val="21"/>
        </w:rPr>
        <w:t>以雪莲培养物、蚕蛹、鹿血、山楂、</w:t>
      </w:r>
      <w:r>
        <w:rPr>
          <w:rFonts w:ascii="宋体" w:hAnsi="宋体" w:cs="宋体"/>
          <w:kern w:val="0"/>
          <w:szCs w:val="21"/>
        </w:rPr>
        <w:t>决明子、</w:t>
      </w:r>
      <w:r>
        <w:rPr>
          <w:rFonts w:hint="eastAsia"/>
          <w:szCs w:val="21"/>
        </w:rPr>
        <w:t>鹿鞭、</w:t>
      </w:r>
      <w:r>
        <w:rPr>
          <w:rFonts w:ascii="宋体" w:hAnsi="宋体" w:cs="宋体"/>
          <w:kern w:val="0"/>
          <w:szCs w:val="21"/>
        </w:rPr>
        <w:t>葛根</w:t>
      </w:r>
      <w:r>
        <w:rPr>
          <w:rFonts w:hint="eastAsia" w:ascii="宋体" w:hAnsi="宋体" w:cs="宋体"/>
          <w:kern w:val="0"/>
          <w:szCs w:val="21"/>
        </w:rPr>
        <w:t>、</w:t>
      </w:r>
      <w:r>
        <w:rPr>
          <w:rFonts w:hint="eastAsia"/>
          <w:szCs w:val="21"/>
        </w:rPr>
        <w:t>人参（人工种植）、玛咖粉、木瓜、甘草、玉竹、枸杞子、白芷、栀子、蝮蛇、乌梢蛇、</w:t>
      </w:r>
      <w:r>
        <w:rPr>
          <w:rFonts w:ascii="宋体" w:hAnsi="宋体" w:cs="宋体"/>
          <w:kern w:val="0"/>
          <w:szCs w:val="21"/>
        </w:rPr>
        <w:t>茯苓、桑叶、桑椹、</w:t>
      </w:r>
      <w:r>
        <w:rPr>
          <w:rFonts w:hint="eastAsia"/>
          <w:szCs w:val="21"/>
        </w:rPr>
        <w:t>龙眼肉、</w:t>
      </w:r>
      <w:bookmarkStart w:id="3" w:name="_GoBack"/>
      <w:bookmarkEnd w:id="3"/>
      <w:r>
        <w:rPr>
          <w:rFonts w:hint="eastAsia"/>
          <w:szCs w:val="21"/>
        </w:rPr>
        <w:t>蒲公英、</w:t>
      </w:r>
      <w:r>
        <w:rPr>
          <w:rFonts w:hint="eastAsia"/>
        </w:rPr>
        <w:t>高良姜、马齿苋、藿香</w:t>
      </w:r>
      <w:r>
        <w:rPr>
          <w:rFonts w:hint="eastAsia"/>
          <w:szCs w:val="21"/>
        </w:rPr>
        <w:t>为</w:t>
      </w:r>
      <w:r>
        <w:rPr>
          <w:rFonts w:hint="eastAsia" w:ascii="宋体" w:hAnsi="宋体" w:eastAsia="宋体"/>
          <w:szCs w:val="21"/>
        </w:rPr>
        <w:t>泡酒</w:t>
      </w:r>
      <w:r>
        <w:rPr>
          <w:rFonts w:hint="eastAsia"/>
          <w:szCs w:val="21"/>
        </w:rPr>
        <w:t>料</w:t>
      </w:r>
      <w:r>
        <w:rPr>
          <w:rFonts w:hint="eastAsia"/>
        </w:rPr>
        <w:t>，以</w:t>
      </w:r>
      <w:r>
        <w:rPr>
          <w:rFonts w:hint="eastAsia"/>
          <w:szCs w:val="21"/>
        </w:rPr>
        <w:t>藏红花提取物为食品用天然香料</w:t>
      </w:r>
      <w:r>
        <w:rPr>
          <w:rFonts w:hint="eastAsia" w:ascii="宋体" w:hAnsi="宋体" w:eastAsia="宋体"/>
          <w:szCs w:val="21"/>
        </w:rPr>
        <w:t>，</w:t>
      </w:r>
      <w:r>
        <w:rPr>
          <w:rFonts w:hint="eastAsia"/>
        </w:rPr>
        <w:t>经浸泡、过滤、勾兑、包装等工艺加工而成的苗医神威酒（配制酒）</w:t>
      </w:r>
    </w:p>
    <w:p>
      <w:pPr>
        <w:pStyle w:val="101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规范性引用文件</w:t>
      </w:r>
    </w:p>
    <w:p>
      <w:pPr>
        <w:pStyle w:val="45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GB</w:t>
      </w:r>
      <w:r>
        <w:rPr>
          <w:rFonts w:ascii="宋体" w:hAnsi="宋体" w:eastAsia="宋体"/>
        </w:rPr>
        <w:t>/T</w:t>
      </w:r>
      <w:r>
        <w:rPr>
          <w:rFonts w:hint="eastAsia" w:ascii="宋体" w:hAnsi="宋体" w:eastAsia="宋体"/>
        </w:rPr>
        <w:t xml:space="preserve"> 191  包装储运图示标志</w:t>
      </w:r>
    </w:p>
    <w:p>
      <w:pPr>
        <w:pStyle w:val="45"/>
        <w:ind w:firstLine="42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GB 2757  食品安全国家标准 蒸馏酒及其配制酒</w:t>
      </w:r>
    </w:p>
    <w:p>
      <w:pPr>
        <w:pStyle w:val="45"/>
        <w:ind w:firstLine="420"/>
        <w:rPr>
          <w:rFonts w:ascii="宋体" w:hAnsi="宋体" w:eastAsia="宋体"/>
          <w:bCs/>
        </w:rPr>
      </w:pPr>
      <w:r>
        <w:rPr>
          <w:rStyle w:val="30"/>
          <w:rFonts w:hint="eastAsia" w:ascii="宋体" w:hAnsi="宋体" w:eastAsia="宋体"/>
          <w:b w:val="0"/>
        </w:rPr>
        <w:t xml:space="preserve">GB 2760  </w:t>
      </w:r>
      <w:r>
        <w:rPr>
          <w:rFonts w:hint="eastAsia" w:ascii="宋体" w:hAnsi="宋体" w:eastAsia="宋体"/>
          <w:color w:val="000000"/>
        </w:rPr>
        <w:t xml:space="preserve">食品安全国家标准 </w:t>
      </w:r>
      <w:r>
        <w:rPr>
          <w:rFonts w:hint="eastAsia" w:ascii="宋体" w:hAnsi="宋体" w:eastAsia="宋体"/>
          <w:bCs/>
        </w:rPr>
        <w:t>食品添加剂使用标准</w:t>
      </w:r>
    </w:p>
    <w:p>
      <w:pPr>
        <w:pStyle w:val="45"/>
        <w:ind w:firstLine="42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GB 4806.4  食品安全国家标准 陶瓷制品</w:t>
      </w:r>
    </w:p>
    <w:p>
      <w:pPr>
        <w:pStyle w:val="45"/>
        <w:ind w:firstLine="42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GB 4806.5  食品安全国家标准 玻璃制品</w:t>
      </w:r>
    </w:p>
    <w:p>
      <w:pPr>
        <w:pStyle w:val="45"/>
        <w:ind w:firstLine="42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bCs/>
          <w:szCs w:val="21"/>
        </w:rPr>
        <w:t xml:space="preserve">GB 5009.12  </w:t>
      </w:r>
      <w:r>
        <w:rPr>
          <w:rFonts w:hint="eastAsia" w:ascii="宋体" w:hAnsi="宋体" w:eastAsia="宋体"/>
        </w:rPr>
        <w:t xml:space="preserve">食品安全国家标准 </w:t>
      </w:r>
      <w:r>
        <w:rPr>
          <w:rFonts w:hint="eastAsia" w:ascii="宋体" w:hAnsi="宋体" w:eastAsia="宋体"/>
          <w:szCs w:val="21"/>
        </w:rPr>
        <w:t>食品中铅的测定</w:t>
      </w:r>
    </w:p>
    <w:p>
      <w:pPr>
        <w:ind w:firstLine="420" w:firstLineChars="200"/>
        <w:jc w:val="left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GB 5009.36  食品安全国家标准 食品中氰化物的测定</w:t>
      </w:r>
    </w:p>
    <w:p>
      <w:pPr>
        <w:widowControl/>
        <w:ind w:firstLine="407" w:firstLineChars="194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GB 5009.225  食品安全国家标准 酒中乙醇浓度的测定</w:t>
      </w:r>
    </w:p>
    <w:p>
      <w:pPr>
        <w:widowControl/>
        <w:ind w:firstLine="407" w:firstLineChars="194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GB 5009.266  食品安全国家标准 食品中甲醇的测定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ascii="宋体" w:hAnsi="宋体" w:eastAsia="宋体"/>
        </w:rPr>
        <w:t>GB 5749 生活饮用水卫生标准</w:t>
      </w:r>
    </w:p>
    <w:p>
      <w:pPr>
        <w:ind w:left="420" w:leftChars="200" w:firstLine="4" w:firstLineChars="2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GB/T 6543  运输包装用单瓦楞纸箱和双瓦楞纸箱</w:t>
      </w:r>
    </w:p>
    <w:p>
      <w:pPr>
        <w:pStyle w:val="45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  <w:szCs w:val="21"/>
        </w:rPr>
        <w:t xml:space="preserve">GB 7718  </w:t>
      </w:r>
      <w:r>
        <w:rPr>
          <w:rFonts w:hint="eastAsia" w:ascii="宋体" w:hAnsi="宋体" w:eastAsia="宋体"/>
        </w:rPr>
        <w:t>食品安全国家标准 预包装食品标签通则</w:t>
      </w:r>
    </w:p>
    <w:p>
      <w:pPr>
        <w:pStyle w:val="45"/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GB/T 10345  白酒分析方法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GB 14881  食品安全国家标准</w:t>
      </w:r>
      <w:r>
        <w:rPr>
          <w:rFonts w:ascii="宋体" w:hAnsi="宋体" w:eastAsia="宋体"/>
        </w:rPr>
        <w:t>食品</w:t>
      </w:r>
      <w:r>
        <w:rPr>
          <w:rFonts w:hint="eastAsia" w:ascii="宋体" w:hAnsi="宋体" w:eastAsia="宋体"/>
        </w:rPr>
        <w:t>生产</w:t>
      </w:r>
      <w:r>
        <w:rPr>
          <w:rFonts w:ascii="宋体" w:hAnsi="宋体" w:eastAsia="宋体"/>
        </w:rPr>
        <w:t>通用卫生规范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JJF 1070  定量包装商品净含量计量检验规则</w:t>
      </w:r>
    </w:p>
    <w:p>
      <w:pPr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国家质量监督检验检疫总局75号令（2005）定量包装商品计量监督管理办法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/>
        </w:rPr>
        <w:t>卫生部关于养殖梅花鹿副产品作为普通食品有关问题的批复【卫监督函〔2012〕8号】</w:t>
      </w:r>
    </w:p>
    <w:p>
      <w:pPr>
        <w:ind w:firstLine="420" w:firstLineChars="200"/>
        <w:jc w:val="left"/>
        <w:rPr>
          <w:rFonts w:ascii="宋体" w:hAnsi="宋体" w:eastAsia="宋体" w:cs="宋体"/>
          <w:kern w:val="36"/>
          <w:szCs w:val="21"/>
        </w:rPr>
      </w:pPr>
      <w:r>
        <w:rPr>
          <w:rFonts w:hint="eastAsia" w:ascii="宋体" w:hAnsi="宋体" w:cs="宋体"/>
          <w:kern w:val="36"/>
          <w:szCs w:val="21"/>
        </w:rPr>
        <w:t>卫生部关于进一步规范保健食品原料管理的通知(卫法监发[2002]51号)</w:t>
      </w:r>
    </w:p>
    <w:p>
      <w:pPr>
        <w:ind w:firstLine="405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食品新资源列为普通食品管理的公告（卫生部公告2004年第17号）</w:t>
      </w:r>
    </w:p>
    <w:p>
      <w:pPr>
        <w:ind w:firstLine="405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新资源食品的公告（卫生部公告20</w:t>
      </w:r>
      <w:r>
        <w:rPr>
          <w:rFonts w:hint="eastAsia" w:ascii="宋体" w:hAnsi="宋体" w:cs="宋体"/>
          <w:kern w:val="0"/>
          <w:szCs w:val="21"/>
        </w:rPr>
        <w:t>10</w:t>
      </w:r>
      <w:r>
        <w:rPr>
          <w:rFonts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ascii="宋体" w:hAnsi="宋体" w:cs="宋体"/>
          <w:kern w:val="0"/>
          <w:szCs w:val="21"/>
        </w:rPr>
        <w:t>第</w:t>
      </w:r>
      <w:r>
        <w:rPr>
          <w:rFonts w:hint="eastAsia" w:ascii="宋体" w:hAnsi="宋体" w:cs="宋体"/>
          <w:kern w:val="0"/>
          <w:szCs w:val="21"/>
        </w:rPr>
        <w:t>9</w:t>
      </w:r>
      <w:r>
        <w:rPr>
          <w:rFonts w:ascii="宋体" w:hAnsi="宋体" w:cs="宋体"/>
          <w:kern w:val="0"/>
          <w:szCs w:val="21"/>
        </w:rPr>
        <w:t>号)</w:t>
      </w:r>
    </w:p>
    <w:p>
      <w:pPr>
        <w:ind w:firstLine="405"/>
        <w:rPr>
          <w:rFonts w:ascii="宋体" w:hAnsi="宋体" w:eastAsia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新资源食品的公告</w:t>
      </w:r>
      <w:r>
        <w:rPr>
          <w:rFonts w:hint="eastAsia" w:ascii="宋体" w:hAnsi="宋体" w:cs="宋体"/>
          <w:kern w:val="0"/>
          <w:szCs w:val="21"/>
        </w:rPr>
        <w:t>（卫生部公告2011年 第13号）</w:t>
      </w:r>
    </w:p>
    <w:p>
      <w:pPr>
        <w:pStyle w:val="45"/>
        <w:spacing w:line="240" w:lineRule="atLeast"/>
        <w:ind w:firstLine="420"/>
        <w:rPr>
          <w:rFonts w:ascii="宋体" w:hAnsi="宋体" w:eastAsia="宋体"/>
        </w:rPr>
      </w:pPr>
      <w:r>
        <w:rPr>
          <w:rFonts w:ascii="宋体" w:hAnsi="宋体" w:eastAsia="宋体"/>
        </w:rPr>
        <w:t>新资源食品的公告（2012年 第17号）</w:t>
      </w:r>
    </w:p>
    <w:p>
      <w:pPr>
        <w:pStyle w:val="45"/>
        <w:spacing w:line="240" w:lineRule="atLeast"/>
        <w:ind w:firstLine="420"/>
        <w:rPr>
          <w:rFonts w:hint="eastAsia" w:ascii="宋体" w:hAnsi="宋体" w:eastAsia="宋体"/>
        </w:rPr>
      </w:pPr>
    </w:p>
    <w:p>
      <w:pPr>
        <w:pStyle w:val="45"/>
        <w:spacing w:line="240" w:lineRule="atLeast"/>
        <w:rPr>
          <w:rFonts w:hint="eastAsia" w:ascii="宋体" w:hAnsi="宋体" w:eastAsia="宋体"/>
          <w:sz w:val="10"/>
          <w:szCs w:val="10"/>
        </w:rPr>
      </w:pPr>
    </w:p>
    <w:p>
      <w:pPr>
        <w:pStyle w:val="45"/>
        <w:spacing w:line="240" w:lineRule="atLeast"/>
        <w:rPr>
          <w:rFonts w:ascii="宋体" w:hAnsi="宋体" w:eastAsia="宋体"/>
          <w:sz w:val="10"/>
          <w:szCs w:val="10"/>
        </w:rPr>
      </w:pPr>
    </w:p>
    <w:p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 xml:space="preserve">要求 </w:t>
      </w:r>
    </w:p>
    <w:bookmarkEnd w:id="2"/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3.1  原料要求</w:t>
      </w:r>
    </w:p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3.1.1  白酒</w:t>
      </w:r>
    </w:p>
    <w:p>
      <w:pPr>
        <w:pStyle w:val="57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ascii="宋体" w:hAnsi="宋体" w:eastAsia="宋体"/>
        </w:rPr>
        <w:t xml:space="preserve">GB </w:t>
      </w:r>
      <w:r>
        <w:rPr>
          <w:rFonts w:hint="eastAsia" w:ascii="宋体" w:hAnsi="宋体" w:eastAsia="宋体"/>
        </w:rPr>
        <w:t>2757</w:t>
      </w:r>
      <w:r>
        <w:rPr>
          <w:rFonts w:hint="eastAsia" w:ascii="宋体" w:hAnsi="宋体" w:eastAsia="宋体"/>
          <w:szCs w:val="21"/>
        </w:rPr>
        <w:t>的规定。</w:t>
      </w:r>
    </w:p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3.1.2  生产用水 </w:t>
      </w:r>
    </w:p>
    <w:p>
      <w:pPr>
        <w:pStyle w:val="57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ascii="宋体" w:hAnsi="宋体" w:eastAsia="宋体"/>
          <w:szCs w:val="21"/>
        </w:rPr>
        <w:t>GB 5749</w:t>
      </w:r>
      <w:r>
        <w:rPr>
          <w:rFonts w:hint="eastAsia" w:ascii="宋体" w:hAnsi="宋体" w:eastAsia="宋体"/>
          <w:szCs w:val="21"/>
        </w:rPr>
        <w:t>的规定。</w:t>
      </w:r>
    </w:p>
    <w:p>
      <w:pPr>
        <w:pStyle w:val="57"/>
        <w:spacing w:beforeLines="50" w:afterLines="50"/>
        <w:rPr>
          <w:rFonts w:ascii="黑体" w:hAnsi="黑体" w:eastAsia="宋体"/>
          <w:szCs w:val="21"/>
        </w:rPr>
      </w:pPr>
      <w:r>
        <w:rPr>
          <w:rFonts w:hint="eastAsia" w:ascii="黑体" w:hAnsi="黑体" w:eastAsia="黑体"/>
          <w:szCs w:val="21"/>
        </w:rPr>
        <w:t>3.1.3  山楂、</w:t>
      </w:r>
      <w:r>
        <w:rPr>
          <w:rFonts w:ascii="黑体" w:hAnsi="黑体" w:eastAsia="黑体"/>
          <w:szCs w:val="21"/>
        </w:rPr>
        <w:t>决明子、葛根</w:t>
      </w:r>
      <w:r>
        <w:rPr>
          <w:rFonts w:hint="eastAsia" w:ascii="黑体" w:hAnsi="黑体" w:eastAsia="黑体"/>
          <w:szCs w:val="21"/>
        </w:rPr>
        <w:t>、玉竹、枸杞子、白芷、栀子、蝮蛇、乌梢蛇、</w:t>
      </w:r>
      <w:r>
        <w:rPr>
          <w:rFonts w:ascii="黑体" w:hAnsi="黑体" w:eastAsia="黑体"/>
          <w:szCs w:val="21"/>
        </w:rPr>
        <w:t>茯苓、桑叶、桑椹、</w:t>
      </w:r>
      <w:r>
        <w:rPr>
          <w:rFonts w:hint="eastAsia" w:ascii="黑体" w:hAnsi="黑体" w:eastAsia="黑体"/>
          <w:szCs w:val="21"/>
        </w:rPr>
        <w:t>龙眼肉、蒲公英、木瓜、甘草、高良姜、马齿苋、藿香</w:t>
      </w:r>
    </w:p>
    <w:p>
      <w:pPr>
        <w:pStyle w:val="102"/>
        <w:ind w:firstLine="420" w:firstLineChars="200"/>
        <w:rPr>
          <w:rFonts w:hAnsi="宋体"/>
          <w:bCs/>
        </w:rPr>
      </w:pPr>
      <w:r>
        <w:rPr>
          <w:rFonts w:hint="eastAsia" w:hAnsi="宋体"/>
        </w:rPr>
        <w:t>应无霉变、</w:t>
      </w:r>
      <w:r>
        <w:rPr>
          <w:rFonts w:hint="eastAsia" w:hAnsi="宋体" w:cs="宋体"/>
        </w:rPr>
        <w:t>无劣变、无异味，无杂物,</w:t>
      </w:r>
      <w:r>
        <w:rPr>
          <w:rFonts w:hint="eastAsia" w:hAnsi="宋体"/>
          <w:bCs/>
        </w:rPr>
        <w:t>无肉眼可见外来杂质，符合相应食品安全国家标准的规定。</w:t>
      </w:r>
      <w:r>
        <w:rPr>
          <w:rFonts w:hint="eastAsia"/>
        </w:rPr>
        <w:t>应符合</w:t>
      </w:r>
      <w:r>
        <w:rPr>
          <w:rFonts w:hint="eastAsia" w:hAnsi="宋体"/>
          <w:bCs/>
          <w:color w:val="000000"/>
          <w:szCs w:val="21"/>
        </w:rPr>
        <w:t>卫生部</w:t>
      </w:r>
      <w:r>
        <w:rPr>
          <w:rFonts w:hint="eastAsia" w:hAnsi="宋体" w:cs="宋体"/>
          <w:kern w:val="36"/>
          <w:szCs w:val="21"/>
        </w:rPr>
        <w:t>(卫法监发[2002]51号)通知</w:t>
      </w:r>
      <w:r>
        <w:rPr>
          <w:rFonts w:hint="eastAsia" w:hAnsi="宋体"/>
          <w:bCs/>
          <w:color w:val="000000"/>
          <w:szCs w:val="21"/>
        </w:rPr>
        <w:t>中食药两用物品名单要求。</w:t>
      </w:r>
    </w:p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3.1.4  玛咖粉</w:t>
      </w:r>
    </w:p>
    <w:p>
      <w:pPr>
        <w:pStyle w:val="57"/>
        <w:spacing w:beforeLines="50" w:afterLines="50"/>
        <w:ind w:firstLine="420" w:firstLineChars="200"/>
        <w:rPr>
          <w:rFonts w:hAnsi="宋体" w:eastAsia="宋体" w:cs="宋体"/>
          <w:szCs w:val="21"/>
        </w:rPr>
      </w:pPr>
      <w:r>
        <w:rPr>
          <w:rFonts w:hint="eastAsia" w:hAnsi="宋体"/>
          <w:szCs w:val="21"/>
        </w:rPr>
        <w:t>应符合</w:t>
      </w:r>
      <w:r>
        <w:rPr>
          <w:rFonts w:hint="eastAsia" w:ascii="宋体" w:hAnsi="宋体" w:cs="宋体"/>
          <w:szCs w:val="21"/>
        </w:rPr>
        <w:t>卫生部公告2011年 第13号</w:t>
      </w:r>
      <w:r>
        <w:rPr>
          <w:rFonts w:hint="eastAsia" w:hAnsi="宋体" w:cs="宋体"/>
          <w:szCs w:val="21"/>
        </w:rPr>
        <w:t>的规定。</w:t>
      </w:r>
    </w:p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3.1.5  人参（人工种植）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</w:t>
      </w:r>
      <w:r>
        <w:rPr>
          <w:rFonts w:ascii="宋体" w:hAnsi="宋体" w:eastAsia="宋体"/>
        </w:rPr>
        <w:t>新资源食品的公告（2012年 第17号）</w:t>
      </w:r>
      <w:r>
        <w:rPr>
          <w:rFonts w:hint="eastAsia" w:ascii="宋体" w:hAnsi="宋体" w:eastAsia="宋体"/>
        </w:rPr>
        <w:t>的</w:t>
      </w:r>
      <w:r>
        <w:rPr>
          <w:rFonts w:hint="eastAsia" w:ascii="宋体" w:hAnsi="宋体" w:eastAsia="宋体"/>
          <w:szCs w:val="21"/>
        </w:rPr>
        <w:t>规定。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3.1.6  雪莲培养物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/>
          <w:szCs w:val="21"/>
        </w:rPr>
        <w:t>应符合</w:t>
      </w:r>
      <w:r>
        <w:rPr>
          <w:rFonts w:ascii="宋体" w:hAnsi="宋体" w:cs="宋体"/>
          <w:kern w:val="0"/>
          <w:szCs w:val="21"/>
        </w:rPr>
        <w:t>新资源食品的公告（卫生部公告20</w:t>
      </w:r>
      <w:r>
        <w:rPr>
          <w:rFonts w:hint="eastAsia" w:ascii="宋体" w:hAnsi="宋体" w:cs="宋体"/>
          <w:kern w:val="0"/>
          <w:szCs w:val="21"/>
        </w:rPr>
        <w:t>10</w:t>
      </w:r>
      <w:r>
        <w:rPr>
          <w:rFonts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ascii="宋体" w:hAnsi="宋体" w:cs="宋体"/>
          <w:kern w:val="0"/>
          <w:szCs w:val="21"/>
        </w:rPr>
        <w:t>第</w:t>
      </w:r>
      <w:r>
        <w:rPr>
          <w:rFonts w:hint="eastAsia" w:ascii="宋体" w:hAnsi="宋体" w:cs="宋体"/>
          <w:kern w:val="0"/>
          <w:szCs w:val="21"/>
        </w:rPr>
        <w:t>9</w:t>
      </w:r>
      <w:r>
        <w:rPr>
          <w:rFonts w:ascii="宋体" w:hAnsi="宋体" w:cs="宋体"/>
          <w:kern w:val="0"/>
          <w:szCs w:val="21"/>
        </w:rPr>
        <w:t>号)</w:t>
      </w:r>
      <w:r>
        <w:rPr>
          <w:rFonts w:hint="eastAsia"/>
        </w:rPr>
        <w:t xml:space="preserve"> 的</w:t>
      </w:r>
      <w:r>
        <w:rPr>
          <w:rFonts w:hint="eastAsia" w:ascii="宋体" w:hAnsi="宋体"/>
          <w:szCs w:val="21"/>
        </w:rPr>
        <w:t>规定</w:t>
      </w:r>
      <w:r>
        <w:rPr>
          <w:rFonts w:hint="eastAsia" w:ascii="宋体" w:hAnsi="宋体" w:eastAsia="宋体"/>
          <w:szCs w:val="21"/>
        </w:rPr>
        <w:t>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3.1.7  蚕蛹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 w:cs="宋体"/>
          <w:bCs/>
          <w:szCs w:val="21"/>
        </w:rPr>
        <w:t>应符合食品新资源列为普通食品管理的公告（卫生部公告2004年第17号）</w:t>
      </w:r>
      <w:r>
        <w:rPr>
          <w:rFonts w:hint="eastAsia" w:ascii="宋体" w:hAnsi="宋体" w:eastAsia="宋体" w:cs="宋体"/>
          <w:szCs w:val="21"/>
        </w:rPr>
        <w:t>的规定。</w:t>
      </w:r>
    </w:p>
    <w:p>
      <w:pPr>
        <w:spacing w:beforeLines="50" w:afterLines="5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3.1.8  鹿血、鹿鞭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/>
        </w:rPr>
        <w:t>卫监督函〔2012〕8号卫生部关于养殖梅花鹿副产品作为普通食品有关问题的批复。</w:t>
      </w:r>
    </w:p>
    <w:p>
      <w:pPr>
        <w:spacing w:beforeLines="50" w:afterLines="5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3.1.</w:t>
      </w:r>
      <w:r>
        <w:rPr>
          <w:rFonts w:hint="eastAsia" w:ascii="黑体" w:hAnsi="黑体" w:eastAsia="黑体"/>
          <w:szCs w:val="21"/>
          <w:lang w:val="en-US" w:eastAsia="zh-CN"/>
        </w:rPr>
        <w:t>9</w:t>
      </w:r>
      <w:r>
        <w:rPr>
          <w:rFonts w:hint="eastAsia" w:ascii="黑体" w:hAnsi="黑体" w:eastAsia="黑体"/>
          <w:szCs w:val="21"/>
        </w:rPr>
        <w:t xml:space="preserve"> 其他原料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szCs w:val="21"/>
        </w:rPr>
        <w:t>应符合相应国家标准及有关规定。</w:t>
      </w:r>
    </w:p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3.2  </w:t>
      </w:r>
      <w:r>
        <w:rPr>
          <w:rFonts w:hint="eastAsia" w:ascii="黑体" w:hAnsi="黑体" w:eastAsia="黑体" w:cs="黑体"/>
        </w:rPr>
        <w:t>食品用天然香料</w:t>
      </w:r>
      <w:r>
        <w:rPr>
          <w:rFonts w:hint="eastAsia" w:ascii="黑体" w:hAnsi="黑体" w:eastAsia="黑体"/>
          <w:szCs w:val="21"/>
        </w:rPr>
        <w:t>要求</w:t>
      </w:r>
    </w:p>
    <w:p>
      <w:pPr>
        <w:spacing w:beforeLines="50" w:afterLines="50"/>
        <w:rPr>
          <w:rFonts w:ascii="宋体" w:hAnsi="宋体" w:cs="宋体"/>
        </w:rPr>
      </w:pPr>
      <w:r>
        <w:rPr>
          <w:rFonts w:hint="eastAsia" w:ascii="黑体" w:hAnsi="黑体" w:eastAsia="黑体" w:cs="黑体"/>
        </w:rPr>
        <w:t xml:space="preserve">3.2.1  </w:t>
      </w:r>
      <w:r>
        <w:rPr>
          <w:rFonts w:hint="eastAsia" w:ascii="黑体" w:hAnsi="黑体" w:eastAsia="黑体"/>
          <w:szCs w:val="21"/>
        </w:rPr>
        <w:t xml:space="preserve">藏红花提取物 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/>
          <w:szCs w:val="21"/>
        </w:rPr>
        <w:t>应符合</w:t>
      </w:r>
      <w:r>
        <w:rPr>
          <w:rFonts w:hint="eastAsia" w:ascii="宋体" w:hAnsi="宋体"/>
        </w:rPr>
        <w:t xml:space="preserve">GB </w:t>
      </w:r>
      <w:r>
        <w:rPr>
          <w:rFonts w:hint="eastAsia" w:ascii="宋体" w:hAnsi="宋体" w:eastAsia="宋体"/>
        </w:rPr>
        <w:t>2760</w:t>
      </w:r>
      <w:r>
        <w:rPr>
          <w:rFonts w:hint="eastAsia"/>
        </w:rPr>
        <w:t>的</w:t>
      </w:r>
      <w:r>
        <w:rPr>
          <w:rFonts w:hint="eastAsia" w:ascii="宋体" w:hAnsi="宋体"/>
          <w:szCs w:val="21"/>
        </w:rPr>
        <w:t>规定。</w:t>
      </w:r>
      <w:r>
        <w:rPr>
          <w:rFonts w:hint="eastAsia" w:ascii="宋体" w:hAnsi="宋体"/>
        </w:rPr>
        <w:t xml:space="preserve"> 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3.3  感官要求</w:t>
      </w:r>
    </w:p>
    <w:p>
      <w:pPr>
        <w:pStyle w:val="45"/>
        <w:ind w:firstLine="420"/>
        <w:rPr>
          <w:rFonts w:hint="eastAsia"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应符合表1的规定。</w:t>
      </w:r>
    </w:p>
    <w:p>
      <w:pPr>
        <w:pStyle w:val="45"/>
        <w:ind w:firstLine="420"/>
        <w:rPr>
          <w:rFonts w:hint="eastAsia" w:ascii="宋体" w:hAnsi="宋体" w:eastAsia="宋体"/>
          <w:bCs/>
          <w:szCs w:val="21"/>
        </w:rPr>
      </w:pPr>
    </w:p>
    <w:p>
      <w:pPr>
        <w:pStyle w:val="45"/>
        <w:ind w:firstLine="420"/>
        <w:rPr>
          <w:rFonts w:hint="eastAsia" w:ascii="宋体" w:hAnsi="宋体" w:eastAsia="宋体"/>
          <w:bCs/>
          <w:szCs w:val="21"/>
        </w:rPr>
      </w:pPr>
    </w:p>
    <w:p>
      <w:pPr>
        <w:pStyle w:val="45"/>
        <w:ind w:firstLine="420"/>
        <w:rPr>
          <w:rFonts w:hint="eastAsia" w:ascii="宋体" w:hAnsi="宋体" w:eastAsia="宋体"/>
          <w:bCs/>
          <w:szCs w:val="21"/>
        </w:rPr>
      </w:pPr>
    </w:p>
    <w:p>
      <w:pPr>
        <w:pStyle w:val="45"/>
        <w:ind w:firstLine="420"/>
        <w:rPr>
          <w:rFonts w:hint="eastAsia" w:ascii="宋体" w:hAnsi="宋体" w:eastAsia="宋体"/>
          <w:bCs/>
          <w:szCs w:val="21"/>
        </w:rPr>
      </w:pPr>
    </w:p>
    <w:p>
      <w:pPr>
        <w:pStyle w:val="45"/>
        <w:ind w:firstLine="420"/>
        <w:rPr>
          <w:rFonts w:hint="eastAsia" w:ascii="宋体" w:hAnsi="宋体" w:eastAsia="宋体"/>
          <w:bCs/>
          <w:szCs w:val="21"/>
        </w:rPr>
      </w:pPr>
    </w:p>
    <w:p>
      <w:pPr>
        <w:pStyle w:val="45"/>
        <w:spacing w:afterLines="50"/>
        <w:ind w:firstLine="0" w:firstLineChars="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 1</w:t>
      </w:r>
    </w:p>
    <w:tbl>
      <w:tblPr>
        <w:tblStyle w:val="43"/>
        <w:tblW w:w="91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4819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pStyle w:val="45"/>
              <w:spacing w:line="360" w:lineRule="exact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项  目</w:t>
            </w:r>
          </w:p>
        </w:tc>
        <w:tc>
          <w:tcPr>
            <w:tcW w:w="4819" w:type="dxa"/>
            <w:vAlign w:val="top"/>
          </w:tcPr>
          <w:p>
            <w:pPr>
              <w:pStyle w:val="45"/>
              <w:spacing w:line="360" w:lineRule="exact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要  求</w:t>
            </w:r>
          </w:p>
        </w:tc>
        <w:tc>
          <w:tcPr>
            <w:tcW w:w="2776" w:type="dxa"/>
            <w:vAlign w:val="top"/>
          </w:tcPr>
          <w:p>
            <w:pPr>
              <w:pStyle w:val="45"/>
              <w:spacing w:line="360" w:lineRule="exact"/>
              <w:ind w:firstLine="0" w:firstLineChars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外  观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澄清透明液体，无沉淀及悬浮物，久置允许有少量沉淀</w:t>
            </w:r>
          </w:p>
        </w:tc>
        <w:tc>
          <w:tcPr>
            <w:tcW w:w="2776" w:type="dxa"/>
            <w:vMerge w:val="restart"/>
            <w:vAlign w:val="center"/>
          </w:tcPr>
          <w:p>
            <w:pPr>
              <w:pStyle w:val="18"/>
              <w:spacing w:line="400" w:lineRule="exact"/>
              <w:ind w:left="145" w:leftChars="69" w:right="218" w:rightChars="104"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取适量试样置于洁净的50ml烧杯中，在自然光下观察色泽、外观，并嗅其气味，用温水开水漱口，品其滋味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色  泽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具有本品应有的色泽，棕红色或棕黄色</w:t>
            </w:r>
          </w:p>
        </w:tc>
        <w:tc>
          <w:tcPr>
            <w:tcW w:w="2776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风  格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具有本品的独特风格</w:t>
            </w:r>
          </w:p>
        </w:tc>
        <w:tc>
          <w:tcPr>
            <w:tcW w:w="2776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香  气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具有本品应有的动植物香和酒香，诸香和谐纯正</w:t>
            </w:r>
          </w:p>
        </w:tc>
        <w:tc>
          <w:tcPr>
            <w:tcW w:w="2776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滋  味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21"/>
              </w:rPr>
              <w:t>醇和，舒顺谐调，酒体完整</w:t>
            </w:r>
          </w:p>
        </w:tc>
        <w:tc>
          <w:tcPr>
            <w:tcW w:w="2776" w:type="dxa"/>
            <w:vMerge w:val="continue"/>
            <w:vAlign w:val="top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3.4  理化指标</w:t>
      </w:r>
    </w:p>
    <w:p>
      <w:pPr>
        <w:pStyle w:val="45"/>
        <w:tabs>
          <w:tab w:val="left" w:pos="426"/>
        </w:tabs>
        <w:ind w:firstLine="42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应符合表2的规定。</w:t>
      </w:r>
    </w:p>
    <w:p>
      <w:pPr>
        <w:pStyle w:val="45"/>
        <w:spacing w:afterLines="50"/>
        <w:ind w:firstLine="0" w:firstLineChars="0"/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表 2</w:t>
      </w:r>
    </w:p>
    <w:tbl>
      <w:tblPr>
        <w:tblStyle w:val="43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3921"/>
        <w:gridCol w:w="2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  标</w:t>
            </w:r>
          </w:p>
        </w:tc>
        <w:tc>
          <w:tcPr>
            <w:tcW w:w="2312" w:type="dxa"/>
            <w:vAlign w:val="top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酒精度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α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53.0</w:t>
            </w:r>
          </w:p>
        </w:tc>
        <w:tc>
          <w:tcPr>
            <w:tcW w:w="2312" w:type="dxa"/>
            <w:vAlign w:val="top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GB 5009.225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81" w:type="dxa"/>
            <w:vAlign w:val="center"/>
          </w:tcPr>
          <w:p>
            <w:pPr>
              <w:spacing w:line="360" w:lineRule="exac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≤0.2</w:t>
            </w:r>
          </w:p>
        </w:tc>
        <w:tc>
          <w:tcPr>
            <w:tcW w:w="2312" w:type="dxa"/>
            <w:vAlign w:val="top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GB 5009.12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81" w:type="dxa"/>
            <w:vAlign w:val="center"/>
          </w:tcPr>
          <w:p>
            <w:pPr>
              <w:pStyle w:val="57"/>
              <w:jc w:val="both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甲醇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/>
                <w:sz w:val="18"/>
                <w:szCs w:val="18"/>
              </w:rPr>
              <w:t xml:space="preserve"> /(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>
            <w:pPr>
              <w:pStyle w:val="57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≤0.6</w:t>
            </w:r>
          </w:p>
        </w:tc>
        <w:tc>
          <w:tcPr>
            <w:tcW w:w="2312" w:type="dxa"/>
            <w:vAlign w:val="top"/>
          </w:tcPr>
          <w:p>
            <w:pPr>
              <w:pStyle w:val="57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GB 5009.266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81" w:type="dxa"/>
            <w:vAlign w:val="center"/>
          </w:tcPr>
          <w:p>
            <w:pPr>
              <w:pStyle w:val="57"/>
              <w:jc w:val="both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氰化物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（以HCN计）/(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>
            <w:pPr>
              <w:pStyle w:val="57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≤7.5</w:t>
            </w:r>
          </w:p>
        </w:tc>
        <w:tc>
          <w:tcPr>
            <w:tcW w:w="2312" w:type="dxa"/>
            <w:vAlign w:val="top"/>
          </w:tcPr>
          <w:p>
            <w:pPr>
              <w:pStyle w:val="57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GB 5009.36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14" w:type="dxa"/>
            <w:gridSpan w:val="3"/>
            <w:vAlign w:val="top"/>
          </w:tcPr>
          <w:p>
            <w:pPr>
              <w:spacing w:line="360" w:lineRule="exac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注：</w:t>
            </w: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α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酒精度标签标示值与实测值允许误差为±2.0（20℃）/ % vol；</w:t>
            </w:r>
          </w:p>
          <w:p>
            <w:pPr>
              <w:spacing w:line="360" w:lineRule="exact"/>
              <w:ind w:firstLine="360" w:firstLineChars="200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vertAlign w:val="superscript"/>
              </w:rPr>
              <w:t>β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甲醇、氰化物指标均按100%酒精度折算</w:t>
            </w:r>
          </w:p>
        </w:tc>
      </w:tr>
    </w:tbl>
    <w:p>
      <w:pPr>
        <w:pStyle w:val="57"/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3.5  净含量</w:t>
      </w:r>
    </w:p>
    <w:p>
      <w:pPr>
        <w:pStyle w:val="45"/>
        <w:ind w:firstLine="42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应符合《</w:t>
      </w:r>
      <w:r>
        <w:rPr>
          <w:rFonts w:hint="eastAsia" w:ascii="宋体" w:hAnsi="宋体" w:eastAsia="宋体"/>
          <w:szCs w:val="21"/>
        </w:rPr>
        <w:t>定量包装商品计量监督管理办法》的规定</w:t>
      </w:r>
      <w:r>
        <w:rPr>
          <w:rFonts w:ascii="宋体" w:hAnsi="宋体" w:eastAsia="宋体"/>
          <w:bCs/>
          <w:szCs w:val="21"/>
        </w:rPr>
        <w:t>。</w:t>
      </w:r>
      <w:r>
        <w:rPr>
          <w:rFonts w:hint="eastAsia" w:ascii="宋体" w:hAnsi="宋体" w:eastAsia="宋体" w:cs="宋体"/>
          <w:szCs w:val="21"/>
        </w:rPr>
        <w:t>检验按JJF 1070的规定进行</w:t>
      </w:r>
      <w:r>
        <w:rPr>
          <w:rFonts w:hint="eastAsia" w:ascii="宋体" w:hAnsi="宋体" w:eastAsia="宋体"/>
          <w:bCs/>
          <w:szCs w:val="21"/>
        </w:rPr>
        <w:t>。</w:t>
      </w:r>
    </w:p>
    <w:p>
      <w:pPr>
        <w:spacing w:beforeLines="50" w:afterLines="5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3.6  食品添加剂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应符合GB 2760的规定。</w:t>
      </w:r>
    </w:p>
    <w:p>
      <w:pPr>
        <w:spacing w:beforeLines="50" w:afterLines="5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3.7  生产加工过程卫生要求</w:t>
      </w:r>
    </w:p>
    <w:p>
      <w:pPr>
        <w:rPr>
          <w:rFonts w:ascii="宋体" w:hAnsi="宋体" w:eastAsia="宋体"/>
        </w:rPr>
      </w:pPr>
      <w:r>
        <w:rPr>
          <w:rFonts w:hint="eastAsia" w:ascii="宋体" w:hAnsi="宋体"/>
        </w:rPr>
        <w:t xml:space="preserve">    </w:t>
      </w:r>
      <w:r>
        <w:rPr>
          <w:rFonts w:hint="eastAsia" w:ascii="宋体" w:hAnsi="宋体" w:eastAsia="宋体"/>
        </w:rPr>
        <w:t xml:space="preserve"> 应符合GB 14881的规定。</w:t>
      </w:r>
    </w:p>
    <w:p>
      <w:pPr>
        <w:spacing w:beforeLines="100" w:afterLines="1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   检验规则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  组批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按同一次投料、同一班次生产包装的产品为一批。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4.2  抽样</w:t>
      </w:r>
    </w:p>
    <w:p>
      <w:pPr>
        <w:ind w:firstLine="42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从每批产品的不同部位随机抽取6瓶，3瓶做感官、理化、卫生指标检验，3瓶留样作备检样品。净含量按JJF 1070的要求进行抽样。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4.3  检验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4.3.1  出厂检验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产品出厂前必须经厂检验部门逐批检验合格，并签发合格证方可出厂。出厂检验项目为：感官要求、酒精度、甲醇、净含量指标。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4.3.2  型式检验</w:t>
      </w:r>
    </w:p>
    <w:p>
      <w:pPr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型式检验为本标准中3.3～3.6项中规定的项目，每半年进行一次，有下情况之一时亦应进行型式检验：</w:t>
      </w:r>
    </w:p>
    <w:p>
      <w:pPr>
        <w:pStyle w:val="57"/>
        <w:numPr>
          <w:ilvl w:val="0"/>
          <w:numId w:val="3"/>
        </w:numPr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新产品试制鉴定；</w:t>
      </w:r>
    </w:p>
    <w:p>
      <w:pPr>
        <w:pStyle w:val="57"/>
        <w:numPr>
          <w:ilvl w:val="0"/>
          <w:numId w:val="3"/>
        </w:numPr>
        <w:jc w:val="both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原料产地、生产工艺、设备有较大改变，可能影响产品质量时；</w:t>
      </w:r>
    </w:p>
    <w:p>
      <w:pPr>
        <w:pStyle w:val="47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int="eastAsia" w:hAnsi="宋体" w:cs="宋体"/>
        </w:rPr>
        <w:t>连续停产三个月以上，恢复生产时；</w:t>
      </w:r>
    </w:p>
    <w:p>
      <w:pPr>
        <w:pStyle w:val="47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int="eastAsia" w:hAnsi="宋体" w:cs="宋体"/>
          <w:bCs/>
          <w:szCs w:val="21"/>
        </w:rPr>
        <w:t>出厂检验结果与上次型式检验结果有较大差异时；</w:t>
      </w:r>
    </w:p>
    <w:p>
      <w:pPr>
        <w:pStyle w:val="47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int="eastAsia" w:hAnsi="宋体" w:cs="宋体"/>
        </w:rPr>
        <w:t>国家</w:t>
      </w:r>
      <w:r>
        <w:rPr>
          <w:rFonts w:hint="eastAsia" w:ascii="宋体" w:hAnsi="宋体" w:eastAsia="宋体" w:cs="宋体"/>
        </w:rPr>
        <w:t>市场</w:t>
      </w:r>
      <w:r>
        <w:rPr>
          <w:rFonts w:hint="eastAsia" w:hAnsi="宋体" w:cs="宋体"/>
        </w:rPr>
        <w:t>监督管理部门提出型式检验要求时。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4.4  判定规则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4.4.1  出厂检验判定规则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4.4.2  型式检验判定规则</w:t>
      </w:r>
    </w:p>
    <w:p>
      <w:pPr>
        <w:ind w:firstLine="420" w:firstLineChars="200"/>
        <w:rPr>
          <w:szCs w:val="21"/>
        </w:rPr>
      </w:pPr>
      <w:r>
        <w:rPr>
          <w:rFonts w:hint="eastAsia" w:ascii="宋体" w:hAnsi="宋体" w:eastAsia="宋体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>
      <w:pPr>
        <w:spacing w:beforeLines="100" w:afterLines="100"/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5  标志、标签、包装、运输、贮存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5.1  标志、标签</w:t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 w:eastAsia="宋体"/>
          <w:szCs w:val="21"/>
        </w:rPr>
        <w:t xml:space="preserve"> </w:t>
      </w:r>
      <w:r>
        <w:rPr>
          <w:rFonts w:hint="eastAsia" w:ascii="宋体" w:hAnsi="宋体"/>
          <w:szCs w:val="21"/>
        </w:rPr>
        <w:t>产品包装应有明显标志，食品标签应符合GB 7718和GB 2757 第四章的规定。产品包装运输图示应符合GB/T 191的规定。并按相关规定标注“</w:t>
      </w:r>
      <w:r>
        <w:rPr>
          <w:rFonts w:ascii="宋体" w:hAnsi="宋体" w:cs="宋体"/>
          <w:color w:val="000000"/>
          <w:szCs w:val="21"/>
          <w:shd w:val="clear" w:color="auto" w:fill="FFFFFF"/>
        </w:rPr>
        <w:t>婴幼儿、少年儿童、孕产妇、</w:t>
      </w:r>
      <w:r>
        <w:rPr>
          <w:rFonts w:hint="eastAsia" w:ascii="宋体" w:hAnsi="宋体" w:cs="宋体"/>
          <w:kern w:val="0"/>
          <w:szCs w:val="21"/>
        </w:rPr>
        <w:t>哺乳期妇女不宜食用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 w:cs="宋体"/>
          <w:kern w:val="0"/>
          <w:szCs w:val="21"/>
        </w:rPr>
        <w:t>、“过量饮酒有害健康”等警示标识。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5.2  包装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  运输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>
      <w:pPr>
        <w:spacing w:beforeLines="50" w:afterLines="5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  贮存</w:t>
      </w: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>
      <w:pPr>
        <w:ind w:firstLine="420" w:firstLineChars="200"/>
        <w:rPr>
          <w:szCs w:val="21"/>
        </w:rPr>
      </w:pPr>
    </w:p>
    <w:p>
      <w:pPr>
        <w:ind w:firstLine="420" w:firstLineChars="200"/>
        <w:rPr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pict>
          <v:shape id="自选图形 13" o:spid="_x0000_s1035" type="#_x0000_t32" style="position:absolute;left:0;margin-left:166.4pt;margin-top:20.8pt;height:0.05pt;width:124.45pt;rotation:0f;z-index:251667456;" o:ole="f" fillcolor="#FFFFFF" filled="t" o:preferrelative="t" stroked="t" coordorigin="0,0" coordsize="21600,21600">
            <v:stroke weight="1pt" color="#000000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</w:p>
    <w:sectPr>
      <w:footerReference r:id="rId7" w:type="default"/>
      <w:endnotePr>
        <w:numFmt w:val="decimal"/>
      </w:endnotePr>
      <w:pgSz w:w="11907" w:h="16839"/>
      <w:pgMar w:top="1418" w:right="1418" w:bottom="1418" w:left="1418" w:header="1134" w:footer="113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3"/>
      <w:framePr w:wrap="around" w:vAnchor="text" w:hAnchor="margin" w:xAlign="right" w:y="1"/>
      <w:rPr>
        <w:rStyle w:val="31"/>
      </w:rPr>
    </w:pPr>
    <w:r>
      <w:fldChar w:fldCharType="begin"/>
    </w:r>
    <w:r>
      <w:rPr>
        <w:rStyle w:val="31"/>
      </w:rPr>
      <w:instrText xml:space="preserve">PAGE  </w:instrText>
    </w:r>
    <w:r>
      <w:fldChar w:fldCharType="separate"/>
    </w:r>
    <w:r>
      <w:rPr>
        <w:rStyle w:val="31"/>
      </w:rPr>
      <w:t>3</w:t>
    </w:r>
    <w:r>
      <w:fldChar w:fldCharType="end"/>
    </w:r>
  </w:p>
  <w:p>
    <w:pPr>
      <w:pStyle w:val="2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0"/>
      <w:rPr>
        <w:rStyle w:val="31"/>
      </w:rPr>
    </w:pPr>
    <w:r>
      <w:fldChar w:fldCharType="begin"/>
    </w:r>
    <w:r>
      <w:rPr>
        <w:rStyle w:val="31"/>
      </w:rPr>
      <w:instrText xml:space="preserve">PAGE  </w:instrText>
    </w:r>
    <w:r>
      <w:fldChar w:fldCharType="separate"/>
    </w:r>
    <w:r>
      <w:rPr>
        <w:rStyle w:val="31"/>
      </w:rPr>
      <w:t>I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0"/>
      <w:rPr>
        <w:rStyle w:val="31"/>
      </w:rPr>
    </w:pPr>
    <w:r>
      <w:fldChar w:fldCharType="begin"/>
    </w:r>
    <w:r>
      <w:rPr>
        <w:rStyle w:val="31"/>
      </w:rPr>
      <w:instrText xml:space="preserve">PAGE  </w:instrText>
    </w:r>
    <w:r>
      <w:fldChar w:fldCharType="separate"/>
    </w:r>
    <w:r>
      <w:rPr>
        <w:rStyle w:val="31"/>
      </w:rP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1"/>
      <w:spacing w:after="0"/>
      <w:rPr>
        <w:rFonts w:ascii="黑体" w:hAnsi="黑体" w:eastAsia="黑体"/>
      </w:rPr>
    </w:pPr>
    <w:r>
      <w:rPr>
        <w:rFonts w:hint="eastAsia" w:ascii="黑体" w:hAnsi="黑体" w:eastAsia="黑体"/>
      </w:rPr>
      <w:t>Q/MDSW 0005S-2020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90477136">
    <w:nsid w:val="3B097B50"/>
    <w:multiLevelType w:val="multilevel"/>
    <w:tmpl w:val="3B097B50"/>
    <w:lvl w:ilvl="0" w:tentative="1">
      <w:start w:val="1"/>
      <w:numFmt w:val="lowerLetter"/>
      <w:lvlText w:val="%1)"/>
      <w:lvlJc w:val="left"/>
      <w:pPr>
        <w:tabs>
          <w:tab w:val="left" w:pos="780"/>
        </w:tabs>
        <w:ind w:left="780" w:hanging="360"/>
      </w:pPr>
      <w:rPr>
        <w:rFonts w:hint="default" w:ascii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3">
    <w:nsid w:val="00000017"/>
    <w:multiLevelType w:val="multilevel"/>
    <w:tmpl w:val="00000017"/>
    <w:lvl w:ilvl="0" w:tentative="1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 w:ascii="黑体" w:hAnsi="黑体" w:eastAsia="黑体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4">
    <w:nsid w:val="00000018"/>
    <w:multiLevelType w:val="multilevel"/>
    <w:tmpl w:val="00000018"/>
    <w:lvl w:ilvl="0" w:tentative="1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1">
      <w:start w:val="1"/>
      <w:numFmt w:val="decimal"/>
      <w:suff w:val="nothing"/>
      <w:lvlText w:val="%1%2　"/>
      <w:lvlJc w:val="left"/>
      <w:pPr>
        <w:ind w:left="105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1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宋体" w:hAnsi="宋体" w:eastAsia="宋体"/>
        <w:b w:val="0"/>
        <w:i w:val="0"/>
        <w:sz w:val="21"/>
      </w:rPr>
    </w:lvl>
    <w:lvl w:ilvl="3" w:tentative="1">
      <w:start w:val="1"/>
      <w:numFmt w:val="decimal"/>
      <w:suff w:val="nothing"/>
      <w:lvlText w:val="%1%2.%3.%4　"/>
      <w:lvlJc w:val="left"/>
      <w:pPr>
        <w:ind w:left="1985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1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1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1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24"/>
  </w:num>
  <w:num w:numId="2">
    <w:abstractNumId w:val="23"/>
  </w:num>
  <w:num w:numId="3">
    <w:abstractNumId w:val="9904771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011F"/>
    <w:rsid w:val="00007963"/>
    <w:rsid w:val="000127B4"/>
    <w:rsid w:val="0002631F"/>
    <w:rsid w:val="00027DF5"/>
    <w:rsid w:val="000456C3"/>
    <w:rsid w:val="00057A3C"/>
    <w:rsid w:val="00062062"/>
    <w:rsid w:val="000700F7"/>
    <w:rsid w:val="00074F0F"/>
    <w:rsid w:val="00093EBD"/>
    <w:rsid w:val="000961BE"/>
    <w:rsid w:val="000A109C"/>
    <w:rsid w:val="000A421D"/>
    <w:rsid w:val="000B4F9C"/>
    <w:rsid w:val="000B7796"/>
    <w:rsid w:val="000C7D5A"/>
    <w:rsid w:val="00101841"/>
    <w:rsid w:val="001240F4"/>
    <w:rsid w:val="00132F10"/>
    <w:rsid w:val="001349DD"/>
    <w:rsid w:val="001361D6"/>
    <w:rsid w:val="00141CC2"/>
    <w:rsid w:val="00143251"/>
    <w:rsid w:val="00145F74"/>
    <w:rsid w:val="0016341B"/>
    <w:rsid w:val="00172A27"/>
    <w:rsid w:val="00174734"/>
    <w:rsid w:val="00175D98"/>
    <w:rsid w:val="001A7E4B"/>
    <w:rsid w:val="001B2E0C"/>
    <w:rsid w:val="001C2344"/>
    <w:rsid w:val="001C4823"/>
    <w:rsid w:val="001D33D6"/>
    <w:rsid w:val="001F034F"/>
    <w:rsid w:val="002008DE"/>
    <w:rsid w:val="00223BB0"/>
    <w:rsid w:val="002337E6"/>
    <w:rsid w:val="00236CFF"/>
    <w:rsid w:val="002517A3"/>
    <w:rsid w:val="00286759"/>
    <w:rsid w:val="002A1C98"/>
    <w:rsid w:val="002A462A"/>
    <w:rsid w:val="002C0E6B"/>
    <w:rsid w:val="002C61D5"/>
    <w:rsid w:val="002D173F"/>
    <w:rsid w:val="002D3921"/>
    <w:rsid w:val="002F4B37"/>
    <w:rsid w:val="00320BB4"/>
    <w:rsid w:val="00321387"/>
    <w:rsid w:val="00333101"/>
    <w:rsid w:val="00340EE1"/>
    <w:rsid w:val="003427E1"/>
    <w:rsid w:val="003704F1"/>
    <w:rsid w:val="0037131C"/>
    <w:rsid w:val="00386C84"/>
    <w:rsid w:val="003D28EA"/>
    <w:rsid w:val="003D5618"/>
    <w:rsid w:val="003D5D91"/>
    <w:rsid w:val="00430569"/>
    <w:rsid w:val="004323C2"/>
    <w:rsid w:val="0043289A"/>
    <w:rsid w:val="00435132"/>
    <w:rsid w:val="00445A1B"/>
    <w:rsid w:val="0048451B"/>
    <w:rsid w:val="004A04DC"/>
    <w:rsid w:val="004A23D4"/>
    <w:rsid w:val="004A43E9"/>
    <w:rsid w:val="004B4E13"/>
    <w:rsid w:val="004B767B"/>
    <w:rsid w:val="004E5E2F"/>
    <w:rsid w:val="004E5FCF"/>
    <w:rsid w:val="00501738"/>
    <w:rsid w:val="0051144A"/>
    <w:rsid w:val="00524768"/>
    <w:rsid w:val="00540269"/>
    <w:rsid w:val="00546974"/>
    <w:rsid w:val="00555C8B"/>
    <w:rsid w:val="00561066"/>
    <w:rsid w:val="00562F49"/>
    <w:rsid w:val="00573743"/>
    <w:rsid w:val="005807DE"/>
    <w:rsid w:val="00582050"/>
    <w:rsid w:val="005A47A0"/>
    <w:rsid w:val="005B4A08"/>
    <w:rsid w:val="005B6034"/>
    <w:rsid w:val="005C0638"/>
    <w:rsid w:val="005C486A"/>
    <w:rsid w:val="005C6E6A"/>
    <w:rsid w:val="00636851"/>
    <w:rsid w:val="0063791E"/>
    <w:rsid w:val="00637ADF"/>
    <w:rsid w:val="0064087C"/>
    <w:rsid w:val="00641A80"/>
    <w:rsid w:val="006467C6"/>
    <w:rsid w:val="0066037D"/>
    <w:rsid w:val="00672119"/>
    <w:rsid w:val="0069268E"/>
    <w:rsid w:val="006969A0"/>
    <w:rsid w:val="006971BD"/>
    <w:rsid w:val="006A09B9"/>
    <w:rsid w:val="006C444A"/>
    <w:rsid w:val="006D0446"/>
    <w:rsid w:val="006D1809"/>
    <w:rsid w:val="007027E1"/>
    <w:rsid w:val="007056FA"/>
    <w:rsid w:val="00712FF9"/>
    <w:rsid w:val="00716E74"/>
    <w:rsid w:val="00722572"/>
    <w:rsid w:val="0072483B"/>
    <w:rsid w:val="00726192"/>
    <w:rsid w:val="00726762"/>
    <w:rsid w:val="00732B78"/>
    <w:rsid w:val="00736AF9"/>
    <w:rsid w:val="00747531"/>
    <w:rsid w:val="0075783E"/>
    <w:rsid w:val="00757A31"/>
    <w:rsid w:val="00773BC4"/>
    <w:rsid w:val="00777069"/>
    <w:rsid w:val="00777E92"/>
    <w:rsid w:val="00811948"/>
    <w:rsid w:val="008273BB"/>
    <w:rsid w:val="00832A9F"/>
    <w:rsid w:val="00832BCD"/>
    <w:rsid w:val="00837293"/>
    <w:rsid w:val="0084177D"/>
    <w:rsid w:val="00847E4D"/>
    <w:rsid w:val="008537AF"/>
    <w:rsid w:val="00863744"/>
    <w:rsid w:val="008B2542"/>
    <w:rsid w:val="008B2D29"/>
    <w:rsid w:val="008E2C43"/>
    <w:rsid w:val="0090072A"/>
    <w:rsid w:val="00901E6C"/>
    <w:rsid w:val="00916BC5"/>
    <w:rsid w:val="00923CCD"/>
    <w:rsid w:val="0092780C"/>
    <w:rsid w:val="009303A3"/>
    <w:rsid w:val="009362D3"/>
    <w:rsid w:val="009547B4"/>
    <w:rsid w:val="00957F95"/>
    <w:rsid w:val="00965EF5"/>
    <w:rsid w:val="009952C9"/>
    <w:rsid w:val="009A394D"/>
    <w:rsid w:val="009A4750"/>
    <w:rsid w:val="009A6590"/>
    <w:rsid w:val="009B7FEF"/>
    <w:rsid w:val="009C1AD2"/>
    <w:rsid w:val="009C3611"/>
    <w:rsid w:val="009C3FB5"/>
    <w:rsid w:val="009D380E"/>
    <w:rsid w:val="009E7DFC"/>
    <w:rsid w:val="009F05F5"/>
    <w:rsid w:val="00A1171C"/>
    <w:rsid w:val="00A206D7"/>
    <w:rsid w:val="00A22934"/>
    <w:rsid w:val="00A5139B"/>
    <w:rsid w:val="00A61956"/>
    <w:rsid w:val="00A90EED"/>
    <w:rsid w:val="00AC134F"/>
    <w:rsid w:val="00AC1611"/>
    <w:rsid w:val="00AC5678"/>
    <w:rsid w:val="00AC79FE"/>
    <w:rsid w:val="00AD1EC1"/>
    <w:rsid w:val="00AD3A49"/>
    <w:rsid w:val="00B009D6"/>
    <w:rsid w:val="00B01215"/>
    <w:rsid w:val="00B02A49"/>
    <w:rsid w:val="00B10A12"/>
    <w:rsid w:val="00B42EBB"/>
    <w:rsid w:val="00B435F0"/>
    <w:rsid w:val="00B44604"/>
    <w:rsid w:val="00B451AF"/>
    <w:rsid w:val="00B47F08"/>
    <w:rsid w:val="00B747B3"/>
    <w:rsid w:val="00BB0607"/>
    <w:rsid w:val="00BB1ACC"/>
    <w:rsid w:val="00BC3727"/>
    <w:rsid w:val="00BF520E"/>
    <w:rsid w:val="00BF697A"/>
    <w:rsid w:val="00BF7BE8"/>
    <w:rsid w:val="00C04186"/>
    <w:rsid w:val="00C61B03"/>
    <w:rsid w:val="00C64F62"/>
    <w:rsid w:val="00CA21F2"/>
    <w:rsid w:val="00CB64B8"/>
    <w:rsid w:val="00CE55A4"/>
    <w:rsid w:val="00CE68BB"/>
    <w:rsid w:val="00D16827"/>
    <w:rsid w:val="00D21242"/>
    <w:rsid w:val="00D27C39"/>
    <w:rsid w:val="00D4339F"/>
    <w:rsid w:val="00D51630"/>
    <w:rsid w:val="00D51954"/>
    <w:rsid w:val="00D53195"/>
    <w:rsid w:val="00D878C1"/>
    <w:rsid w:val="00D968C9"/>
    <w:rsid w:val="00DB1829"/>
    <w:rsid w:val="00DB3F9B"/>
    <w:rsid w:val="00DC32CC"/>
    <w:rsid w:val="00DC4FE5"/>
    <w:rsid w:val="00DD672F"/>
    <w:rsid w:val="00DF4E52"/>
    <w:rsid w:val="00DF54B1"/>
    <w:rsid w:val="00E01001"/>
    <w:rsid w:val="00E141D8"/>
    <w:rsid w:val="00E50479"/>
    <w:rsid w:val="00E7100C"/>
    <w:rsid w:val="00E97CD0"/>
    <w:rsid w:val="00EA5B33"/>
    <w:rsid w:val="00EC120A"/>
    <w:rsid w:val="00ED3752"/>
    <w:rsid w:val="00EF27F7"/>
    <w:rsid w:val="00EF2B93"/>
    <w:rsid w:val="00F007BC"/>
    <w:rsid w:val="00F75A38"/>
    <w:rsid w:val="00F804E4"/>
    <w:rsid w:val="00F96EC9"/>
    <w:rsid w:val="00FD0FB6"/>
    <w:rsid w:val="00FD2462"/>
    <w:rsid w:val="00FD43EA"/>
    <w:rsid w:val="00FD5811"/>
    <w:rsid w:val="00FE1883"/>
    <w:rsid w:val="00FE4391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6196F94"/>
    <w:rsid w:val="575E045C"/>
    <w:rsid w:val="599A0858"/>
    <w:rsid w:val="5A987F7C"/>
    <w:rsid w:val="5C83210D"/>
    <w:rsid w:val="5D6A1334"/>
    <w:rsid w:val="65695BE5"/>
    <w:rsid w:val="66420652"/>
    <w:rsid w:val="6B291B76"/>
    <w:rsid w:val="717C58A8"/>
    <w:rsid w:val="754F4F73"/>
    <w:rsid w:val="7A174ECC"/>
    <w:rsid w:val="7E89331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0" w:name="Normal Indent"/>
    <w:lsdException w:unhideWhenUsed="0" w:uiPriority="0" w:semiHidden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  <w:szCs w:val="21"/>
    </w:rPr>
  </w:style>
  <w:style w:type="character" w:default="1" w:styleId="29">
    <w:name w:val="Default Paragraph Font"/>
    <w:unhideWhenUsed/>
    <w:uiPriority w:val="1"/>
  </w:style>
  <w:style w:type="table" w:default="1" w:styleId="43">
    <w:name w:val="Normal Table"/>
    <w:unhideWhenUsed/>
    <w:qFormat/>
    <w:uiPriority w:val="99"/>
    <w:tblPr>
      <w:tblStyle w:val="4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uiPriority w:val="0"/>
  </w:style>
  <w:style w:type="paragraph" w:styleId="12">
    <w:name w:val="toc 6"/>
    <w:basedOn w:val="13"/>
    <w:next w:val="1"/>
    <w:uiPriority w:val="0"/>
  </w:style>
  <w:style w:type="paragraph" w:styleId="13">
    <w:name w:val="toc 5"/>
    <w:basedOn w:val="14"/>
    <w:next w:val="1"/>
    <w:uiPriority w:val="0"/>
  </w:style>
  <w:style w:type="paragraph" w:styleId="14">
    <w:name w:val="toc 4"/>
    <w:basedOn w:val="15"/>
    <w:next w:val="1"/>
    <w:uiPriority w:val="0"/>
  </w:style>
  <w:style w:type="paragraph" w:styleId="15">
    <w:name w:val="toc 3"/>
    <w:basedOn w:val="16"/>
    <w:next w:val="1"/>
    <w:uiPriority w:val="0"/>
  </w:style>
  <w:style w:type="paragraph" w:styleId="16">
    <w:name w:val="toc 2"/>
    <w:basedOn w:val="17"/>
    <w:next w:val="1"/>
    <w:uiPriority w:val="0"/>
  </w:style>
  <w:style w:type="paragraph" w:styleId="17">
    <w:name w:val="toc 1"/>
    <w:next w:val="1"/>
    <w:uiPriority w:val="0"/>
    <w:p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8">
    <w:name w:val="Body Text Indent"/>
    <w:basedOn w:val="1"/>
    <w:link w:val="106"/>
    <w:uiPriority w:val="0"/>
    <w:pPr>
      <w:ind w:firstLine="284" w:firstLineChars="151"/>
    </w:pPr>
    <w:rPr>
      <w:rFonts w:ascii="宋体" w:hAnsi="宋体" w:eastAsia="Times New Roman"/>
    </w:rPr>
  </w:style>
  <w:style w:type="paragraph" w:styleId="19">
    <w:name w:val="HTML Address"/>
    <w:basedOn w:val="1"/>
    <w:uiPriority w:val="0"/>
    <w:rPr>
      <w:i/>
      <w:iCs/>
    </w:rPr>
  </w:style>
  <w:style w:type="paragraph" w:styleId="20">
    <w:name w:val="toc 8"/>
    <w:basedOn w:val="11"/>
    <w:next w:val="1"/>
    <w:uiPriority w:val="0"/>
  </w:style>
  <w:style w:type="paragraph" w:styleId="21">
    <w:name w:val="Date"/>
    <w:basedOn w:val="1"/>
    <w:next w:val="1"/>
    <w:uiPriority w:val="0"/>
    <w:pPr>
      <w:ind w:left="100" w:leftChars="2500"/>
    </w:pPr>
  </w:style>
  <w:style w:type="paragraph" w:styleId="22">
    <w:name w:val="Balloon Text"/>
    <w:basedOn w:val="1"/>
    <w:uiPriority w:val="0"/>
    <w:rPr>
      <w:sz w:val="18"/>
      <w:szCs w:val="18"/>
    </w:rPr>
  </w:style>
  <w:style w:type="paragraph" w:styleId="23">
    <w:name w:val="footer"/>
    <w:basedOn w:val="1"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2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26">
    <w:name w:val="toc 9"/>
    <w:basedOn w:val="20"/>
    <w:next w:val="1"/>
    <w:uiPriority w:val="0"/>
  </w:style>
  <w:style w:type="paragraph" w:styleId="27">
    <w:name w:val="HTML Preformatted"/>
    <w:basedOn w:val="1"/>
    <w:uiPriority w:val="0"/>
    <w:rPr>
      <w:rFonts w:ascii="Courier New" w:hAnsi="Courier New" w:cs="Courier New"/>
      <w:sz w:val="20"/>
      <w:szCs w:val="20"/>
    </w:rPr>
  </w:style>
  <w:style w:type="paragraph" w:styleId="28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30">
    <w:name w:val="Strong"/>
    <w:basedOn w:val="29"/>
    <w:qFormat/>
    <w:uiPriority w:val="0"/>
    <w:rPr>
      <w:b/>
      <w:bCs/>
    </w:rPr>
  </w:style>
  <w:style w:type="character" w:styleId="31">
    <w:name w:val="page number"/>
    <w:basedOn w:val="29"/>
    <w:uiPriority w:val="0"/>
    <w:rPr>
      <w:rFonts w:ascii="Times New Roman" w:hAnsi="Times New Roman" w:eastAsia="宋体"/>
      <w:sz w:val="18"/>
    </w:rPr>
  </w:style>
  <w:style w:type="character" w:styleId="32">
    <w:name w:val="Emphasis"/>
    <w:basedOn w:val="29"/>
    <w:qFormat/>
    <w:uiPriority w:val="0"/>
    <w:rPr>
      <w:color w:val="CC0000"/>
    </w:rPr>
  </w:style>
  <w:style w:type="character" w:styleId="33">
    <w:name w:val="HTML Definition"/>
    <w:basedOn w:val="29"/>
    <w:uiPriority w:val="0"/>
    <w:rPr>
      <w:i/>
      <w:iCs/>
    </w:rPr>
  </w:style>
  <w:style w:type="character" w:styleId="34">
    <w:name w:val="HTML Typewriter"/>
    <w:basedOn w:val="29"/>
    <w:uiPriority w:val="0"/>
    <w:rPr>
      <w:rFonts w:ascii="Courier New" w:hAnsi="Courier New"/>
      <w:sz w:val="20"/>
      <w:szCs w:val="20"/>
    </w:rPr>
  </w:style>
  <w:style w:type="character" w:styleId="35">
    <w:name w:val="HTML Acronym"/>
    <w:basedOn w:val="29"/>
    <w:uiPriority w:val="0"/>
    <w:rPr/>
  </w:style>
  <w:style w:type="character" w:styleId="36">
    <w:name w:val="HTML Variable"/>
    <w:basedOn w:val="29"/>
    <w:uiPriority w:val="0"/>
    <w:rPr>
      <w:i/>
      <w:iCs/>
    </w:rPr>
  </w:style>
  <w:style w:type="character" w:styleId="37">
    <w:name w:val="Hyperlink"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</w:rPr>
  </w:style>
  <w:style w:type="character" w:styleId="38">
    <w:name w:val="HTML Code"/>
    <w:basedOn w:val="29"/>
    <w:uiPriority w:val="0"/>
    <w:rPr>
      <w:rFonts w:ascii="Courier New" w:hAnsi="Courier New"/>
      <w:sz w:val="20"/>
      <w:szCs w:val="20"/>
    </w:rPr>
  </w:style>
  <w:style w:type="character" w:styleId="39">
    <w:name w:val="HTML Cite"/>
    <w:basedOn w:val="29"/>
    <w:uiPriority w:val="0"/>
    <w:rPr>
      <w:i/>
      <w:iCs/>
    </w:rPr>
  </w:style>
  <w:style w:type="character" w:styleId="40">
    <w:name w:val="footnote reference"/>
    <w:basedOn w:val="29"/>
    <w:uiPriority w:val="0"/>
    <w:rPr>
      <w:vertAlign w:val="superscript"/>
    </w:rPr>
  </w:style>
  <w:style w:type="character" w:styleId="41">
    <w:name w:val="HTML Keyboard"/>
    <w:basedOn w:val="29"/>
    <w:uiPriority w:val="0"/>
    <w:rPr>
      <w:rFonts w:ascii="Courier New" w:hAnsi="Courier New"/>
      <w:sz w:val="20"/>
      <w:szCs w:val="20"/>
    </w:rPr>
  </w:style>
  <w:style w:type="character" w:styleId="42">
    <w:name w:val="HTML Sample"/>
    <w:basedOn w:val="29"/>
    <w:uiPriority w:val="0"/>
    <w:rPr>
      <w:rFonts w:ascii="Courier New" w:hAnsi="Courier New"/>
    </w:rPr>
  </w:style>
  <w:style w:type="table" w:styleId="44">
    <w:name w:val="Table Grid"/>
    <w:basedOn w:val="43"/>
    <w:uiPriority w:val="0"/>
    <w:pPr/>
    <w:tblPr>
      <w:tblStyle w:val="43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5">
    <w:name w:val="段"/>
    <w:link w:val="105"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6">
    <w:name w:val="前言、引言标题"/>
    <w:next w:val="1"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47">
    <w:name w:val="字母编号列项（一级）"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8">
    <w:name w:val="附录四级条标题"/>
    <w:basedOn w:val="49"/>
    <w:next w:val="45"/>
    <w:uiPriority w:val="0"/>
    <w:pPr>
      <w:outlineLvl w:val="5"/>
    </w:pPr>
  </w:style>
  <w:style w:type="paragraph" w:customStyle="1" w:styleId="49">
    <w:name w:val="附录三级条标题"/>
    <w:basedOn w:val="50"/>
    <w:next w:val="45"/>
    <w:uiPriority w:val="0"/>
    <w:pPr>
      <w:outlineLvl w:val="4"/>
    </w:pPr>
  </w:style>
  <w:style w:type="paragraph" w:customStyle="1" w:styleId="50">
    <w:name w:val="附录二级条标题"/>
    <w:basedOn w:val="51"/>
    <w:next w:val="45"/>
    <w:uiPriority w:val="0"/>
    <w:pPr>
      <w:outlineLvl w:val="3"/>
    </w:pPr>
  </w:style>
  <w:style w:type="paragraph" w:customStyle="1" w:styleId="51">
    <w:name w:val="附录一级条标题"/>
    <w:basedOn w:val="52"/>
    <w:next w:val="45"/>
    <w:uiPriority w:val="0"/>
    <w:pPr>
      <w:autoSpaceDN w:val="0"/>
      <w:spacing w:beforeLines="0" w:afterLines="0"/>
      <w:outlineLvl w:val="2"/>
    </w:pPr>
  </w:style>
  <w:style w:type="paragraph" w:customStyle="1" w:styleId="52">
    <w:name w:val="附录章标题"/>
    <w:next w:val="45"/>
    <w:uiPriority w:val="0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3">
    <w:name w:val="目次、索引正文"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4">
    <w:name w:val="正文表标题"/>
    <w:next w:val="45"/>
    <w:uiPriority w:val="0"/>
    <w:pPr>
      <w:tabs>
        <w:tab w:val="left" w:pos="900"/>
      </w:tabs>
      <w:ind w:left="900" w:hanging="50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5">
    <w:name w:val="发布部门"/>
    <w:next w:val="45"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56">
    <w:name w:val="二级条标题"/>
    <w:basedOn w:val="57"/>
    <w:next w:val="45"/>
    <w:uiPriority w:val="0"/>
    <w:pPr>
      <w:tabs>
        <w:tab w:val="left" w:pos="1680"/>
      </w:tabs>
      <w:ind w:left="1680" w:hanging="420"/>
      <w:outlineLvl w:val="3"/>
    </w:pPr>
  </w:style>
  <w:style w:type="paragraph" w:customStyle="1" w:styleId="57">
    <w:name w:val="一级条标题"/>
    <w:next w:val="45"/>
    <w:uiPriority w:val="0"/>
    <w:p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58">
    <w:name w:val="文献分类号"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59">
    <w:name w:val="注×："/>
    <w:uiPriority w:val="0"/>
    <w:pPr>
      <w:widowControl w:val="0"/>
      <w:tabs>
        <w:tab w:val="left" w:pos="63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60">
    <w:name w:val="参考文献、索引标题"/>
    <w:basedOn w:val="46"/>
    <w:next w:val="1"/>
    <w:uiPriority w:val="0"/>
    <w:pPr>
      <w:spacing w:after="200"/>
    </w:pPr>
    <w:rPr>
      <w:sz w:val="21"/>
    </w:rPr>
  </w:style>
  <w:style w:type="paragraph" w:customStyle="1" w:styleId="61">
    <w:name w:val="五级条标题"/>
    <w:basedOn w:val="62"/>
    <w:next w:val="45"/>
    <w:uiPriority w:val="0"/>
    <w:pPr>
      <w:tabs>
        <w:tab w:val="left" w:pos="3827"/>
      </w:tabs>
      <w:ind w:left="3827" w:hanging="1276"/>
      <w:outlineLvl w:val="6"/>
    </w:pPr>
  </w:style>
  <w:style w:type="paragraph" w:customStyle="1" w:styleId="62">
    <w:name w:val="四级条标题"/>
    <w:basedOn w:val="63"/>
    <w:next w:val="45"/>
    <w:uiPriority w:val="0"/>
    <w:pPr>
      <w:tabs>
        <w:tab w:val="left" w:pos="2520"/>
      </w:tabs>
      <w:ind w:left="2520" w:hanging="420"/>
      <w:outlineLvl w:val="5"/>
    </w:pPr>
  </w:style>
  <w:style w:type="paragraph" w:customStyle="1" w:styleId="63">
    <w:name w:val="三级条标题"/>
    <w:basedOn w:val="56"/>
    <w:next w:val="45"/>
    <w:uiPriority w:val="0"/>
    <w:pPr>
      <w:ind w:left="0" w:firstLine="0"/>
      <w:outlineLvl w:val="4"/>
    </w:pPr>
  </w:style>
  <w:style w:type="paragraph" w:customStyle="1" w:styleId="64">
    <w:name w:val="封面标准号1"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65">
    <w:name w:val="封面一致性程度标识"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66">
    <w:name w:val="封面标准代替信息"/>
    <w:basedOn w:val="67"/>
    <w:uiPriority w:val="0"/>
    <w:pPr>
      <w:spacing w:before="57"/>
    </w:pPr>
    <w:rPr>
      <w:rFonts w:ascii="宋体"/>
      <w:sz w:val="21"/>
    </w:rPr>
  </w:style>
  <w:style w:type="paragraph" w:customStyle="1" w:styleId="67">
    <w:name w:val="封面标准号2"/>
    <w:basedOn w:val="64"/>
    <w:uiPriority w:val="0"/>
    <w:pPr>
      <w:adjustRightInd w:val="0"/>
      <w:spacing w:before="357" w:line="280" w:lineRule="exact"/>
    </w:pPr>
  </w:style>
  <w:style w:type="paragraph" w:customStyle="1" w:styleId="68">
    <w:name w:val="图表脚注"/>
    <w:next w:val="45"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69">
    <w:name w:val="列项◆（三级）"/>
    <w:uiPriority w:val="0"/>
    <w:pPr>
      <w:tabs>
        <w:tab w:val="left" w:pos="960"/>
      </w:tabs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0">
    <w:name w:val="其他发布部门"/>
    <w:basedOn w:val="55"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71">
    <w:name w:val="实施日期"/>
    <w:basedOn w:val="72"/>
    <w:uiPriority w:val="0"/>
    <w:pPr>
      <w:jc w:val="right"/>
    </w:pPr>
  </w:style>
  <w:style w:type="paragraph" w:customStyle="1" w:styleId="72">
    <w:name w:val="发布日期"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73">
    <w:name w:val="封面标准文稿编辑信息"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4">
    <w:name w:val="编号列项（三级）"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5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76">
    <w:name w:val="封面标准文稿类别"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77">
    <w:name w:val="目次、标准名称标题"/>
    <w:basedOn w:val="46"/>
    <w:next w:val="45"/>
    <w:uiPriority w:val="0"/>
    <w:pPr>
      <w:spacing w:line="460" w:lineRule="exact"/>
    </w:pPr>
  </w:style>
  <w:style w:type="paragraph" w:customStyle="1" w:styleId="78">
    <w:name w:val="标准书眉一"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9">
    <w:name w:val="其他标准称谓"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80">
    <w:name w:val="封面标准名称"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81">
    <w:name w:val="示例"/>
    <w:next w:val="45"/>
    <w:uiPriority w:val="0"/>
    <w:pPr>
      <w:tabs>
        <w:tab w:val="left" w:pos="816"/>
      </w:tabs>
      <w:ind w:left="840"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82">
    <w:name w:val="封面标准英文名称"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83">
    <w:name w:val="注："/>
    <w:next w:val="45"/>
    <w:uiPriority w:val="0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84">
    <w:name w:val="标准书脚_偶数页"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85">
    <w:name w:val="标准称谓"/>
    <w:next w:val="1"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86">
    <w:name w:val="附录五级条标题"/>
    <w:basedOn w:val="48"/>
    <w:next w:val="45"/>
    <w:uiPriority w:val="0"/>
    <w:pPr>
      <w:tabs>
        <w:tab w:val="left" w:pos="2940"/>
      </w:tabs>
      <w:ind w:left="2940"/>
      <w:outlineLvl w:val="6"/>
    </w:pPr>
  </w:style>
  <w:style w:type="paragraph" w:customStyle="1" w:styleId="87">
    <w:name w:val="列项——（一级）"/>
    <w:uiPriority w:val="0"/>
    <w:pPr>
      <w:widowControl w:val="0"/>
      <w:tabs>
        <w:tab w:val="left" w:pos="854"/>
      </w:tabs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8">
    <w:name w:val="附录标识"/>
    <w:basedOn w:val="46"/>
    <w:uiPriority w:val="0"/>
    <w:pPr>
      <w:tabs>
        <w:tab w:val="left" w:pos="6405"/>
      </w:tabs>
      <w:spacing w:after="200"/>
    </w:pPr>
    <w:rPr>
      <w:sz w:val="21"/>
    </w:rPr>
  </w:style>
  <w:style w:type="paragraph" w:customStyle="1" w:styleId="89">
    <w:name w:val="条文脚注"/>
    <w:basedOn w:val="25"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90">
    <w:name w:val="标准书眉_偶数页"/>
    <w:basedOn w:val="91"/>
    <w:next w:val="1"/>
    <w:uiPriority w:val="0"/>
    <w:pPr>
      <w:jc w:val="left"/>
    </w:pPr>
  </w:style>
  <w:style w:type="paragraph" w:customStyle="1" w:styleId="91">
    <w:name w:val="标准书眉_奇数页"/>
    <w:next w:val="1"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2">
    <w:name w:val="附录表标题"/>
    <w:next w:val="45"/>
    <w:uiPriority w:val="0"/>
    <w:pPr>
      <w:tabs>
        <w:tab w:val="left" w:pos="360"/>
      </w:tabs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3">
    <w:name w:val="正文图标题"/>
    <w:next w:val="45"/>
    <w:uiPriority w:val="0"/>
    <w:pPr>
      <w:tabs>
        <w:tab w:val="left" w:pos="760"/>
      </w:tabs>
      <w:ind w:left="717" w:hanging="317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4">
    <w:name w:val="标准标志"/>
    <w:next w:val="1"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95">
    <w:name w:val="附录图标题"/>
    <w:next w:val="45"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6">
    <w:name w:val="列项●（二级）"/>
    <w:uiPriority w:val="0"/>
    <w:p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7">
    <w:name w:val="章标题"/>
    <w:next w:val="45"/>
    <w:uiPriority w:val="0"/>
    <w:pPr>
      <w:spacing w:beforeLines="50" w:afterLines="50"/>
      <w:ind w:left="10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8">
    <w:name w:val="封面正文"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9">
    <w:name w:val="数字编号列项（二级）"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0">
    <w:name w:val="标准书脚_奇数页"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101">
    <w:name w:val="List Paragraph"/>
    <w:basedOn w:val="1"/>
    <w:unhideWhenUsed/>
    <w:uiPriority w:val="99"/>
    <w:pPr>
      <w:ind w:firstLine="420" w:firstLineChars="200"/>
    </w:pPr>
  </w:style>
  <w:style w:type="paragraph" w:customStyle="1" w:styleId="102">
    <w:name w:val="二级无"/>
    <w:basedOn w:val="56"/>
    <w:uiPriority w:val="0"/>
    <w:pPr>
      <w:ind w:left="0"/>
    </w:pPr>
    <w:rPr>
      <w:rFonts w:ascii="宋体" w:eastAsia="宋体"/>
    </w:rPr>
  </w:style>
  <w:style w:type="character" w:customStyle="1" w:styleId="103">
    <w:name w:val="段 Char"/>
    <w:basedOn w:val="29"/>
    <w:uiPriority w:val="0"/>
    <w:rPr>
      <w:rFonts w:ascii="宋体"/>
      <w:sz w:val="21"/>
      <w:lang w:val="en-US" w:eastAsia="zh-CN" w:bidi="ar-SA"/>
    </w:rPr>
  </w:style>
  <w:style w:type="character" w:customStyle="1" w:styleId="104">
    <w:name w:val="个人答复风格"/>
    <w:basedOn w:val="29"/>
    <w:uiPriority w:val="0"/>
    <w:rPr>
      <w:rFonts w:ascii="Arial" w:hAnsi="Arial" w:eastAsia="宋体" w:cs="Arial"/>
      <w:color w:val="auto"/>
      <w:sz w:val="20"/>
    </w:rPr>
  </w:style>
  <w:style w:type="character" w:customStyle="1" w:styleId="105">
    <w:name w:val="段 Char Char"/>
    <w:basedOn w:val="29"/>
    <w:link w:val="45"/>
    <w:uiPriority w:val="0"/>
    <w:rPr>
      <w:rFonts w:ascii="宋体"/>
      <w:sz w:val="21"/>
      <w:lang w:val="en-US" w:eastAsia="zh-CN" w:bidi="ar-SA"/>
    </w:rPr>
  </w:style>
  <w:style w:type="character" w:customStyle="1" w:styleId="106">
    <w:name w:val="正文文本缩进 Char"/>
    <w:basedOn w:val="29"/>
    <w:link w:val="18"/>
    <w:uiPriority w:val="0"/>
    <w:rPr>
      <w:rFonts w:ascii="宋体" w:hAnsi="宋体"/>
      <w:kern w:val="2"/>
      <w:sz w:val="21"/>
      <w:szCs w:val="24"/>
      <w:lang w:bidi="ar-SA"/>
    </w:rPr>
  </w:style>
  <w:style w:type="character" w:customStyle="1" w:styleId="107">
    <w:name w:val="个人撰写风格"/>
    <w:basedOn w:val="29"/>
    <w:uiPriority w:val="0"/>
    <w:rPr>
      <w:rFonts w:ascii="Arial" w:hAnsi="Arial" w:eastAsia="宋体" w:cs="Arial"/>
      <w:color w:val="auto"/>
      <w:sz w:val="20"/>
    </w:rPr>
  </w:style>
  <w:style w:type="character" w:customStyle="1" w:styleId="108">
    <w:name w:val="发布"/>
    <w:basedOn w:val="29"/>
    <w:uiPriority w:val="0"/>
    <w:rPr>
      <w:rFonts w:ascii="黑体" w:eastAsia="黑体"/>
      <w:spacing w:val="22"/>
      <w:w w:val="100"/>
      <w:position w:val="3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Company>CNIS</Company>
  <Pages>6</Pages>
  <Words>476</Words>
  <Characters>2717</Characters>
  <Lines>22</Lines>
  <Paragraphs>6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2020-09-15T06:31:00Z</dcterms:created>
  <dc:creator>微软用户</dc:creator>
  <cp:lastModifiedBy>NTKO</cp:lastModifiedBy>
  <cp:lastPrinted>2017-11-08T05:42:00Z</cp:lastPrinted>
  <dcterms:modified xsi:type="dcterms:W3CDTF">2020-09-29T07:12:11Z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2052-9.1.0.4940</vt:lpwstr>
  </property>
</Properties>
</file>