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4"/>
        <w:sectPr>
          <w:footerReference r:id="rId3" w:type="even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 w:num="1"/>
          <w:docGrid w:type="lines" w:linePitch="312" w:charSpace="0"/>
        </w:sectPr>
      </w:pPr>
      <w:bookmarkStart w:id="0" w:name="SectionMark0"/>
      <w:r>
        <w:pict>
          <v:line id="_x0000_s1026" o:spid="_x0000_s1026" o:spt="20" style="position:absolute;left:0pt;margin-left:-5.25pt;margin-top:172.9pt;height:0pt;width:482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line id="直线 12" o:spid="_x0000_s1035" o:spt="20" style="position:absolute;left:0pt;margin-left:0pt;margin-top:700.6pt;height:0pt;width:456.75pt;z-index:25166131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shape id="fmFrame7" o:spid="_x0000_s1034" o:spt="202" type="#_x0000_t202" style="position:absolute;left:0pt;margin-left:-19.15pt;margin-top:701.65pt;height:28.6pt;width:495.9pt;mso-position-horizontal-relative:margin;mso-position-vertical-relative:margin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6"/>
                    <w:spacing w:line="240" w:lineRule="auto"/>
                  </w:pPr>
                  <w:r>
                    <w:rPr>
                      <w:rFonts w:hint="eastAsia" w:hAnsi="黑体"/>
                      <w:spacing w:val="0"/>
                      <w:w w:val="100"/>
                      <w:szCs w:val="36"/>
                    </w:rPr>
                    <w:t xml:space="preserve">贵州广济堂药业有限公司 </w:t>
                  </w:r>
                  <w:r>
                    <w:rPr>
                      <w:rStyle w:val="51"/>
                      <w:rFonts w:hint="eastAsia" w:hAnsi="黑体"/>
                    </w:rPr>
                    <w:t>发布</w:t>
                  </w:r>
                </w:p>
              </w:txbxContent>
            </v:textbox>
            <w10:anchorlock/>
          </v:shape>
        </w:pict>
      </w:r>
      <w:r>
        <w:pict>
          <v:shape id="fmFrame6" o:spid="_x0000_s1027" o:spt="202" type="#_x0000_t202" style="position:absolute;left:0pt;margin-left:294pt;margin-top:674.3pt;height:24.6pt;width:159pt;mso-position-horizontal-relative:margin;mso-position-vertical-relative:margin;z-index:25165824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7"/>
                    <w:rPr>
                      <w:rFonts w:ascii="黑体" w:hAnsi="黑体"/>
                    </w:rPr>
                  </w:pPr>
                  <w:r>
                    <w:rPr>
                      <w:rFonts w:hint="eastAsia" w:ascii="黑体" w:hAnsi="黑体"/>
                    </w:rPr>
                    <w:t>2020-06-12实施</w:t>
                  </w:r>
                </w:p>
              </w:txbxContent>
            </v:textbox>
            <w10:anchorlock/>
          </v:shape>
        </w:pict>
      </w:r>
      <w:r>
        <w:pict>
          <v:shape id="fmFrame5" o:spid="_x0000_s1028" o:spt="202" type="#_x0000_t202" style="position:absolute;left:0pt;margin-left:0pt;margin-top:674.3pt;height:24.6pt;width:159pt;mso-position-horizontal-relative:margin;mso-position-vertical-relative:margin;z-index:251657216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78"/>
                    <w:rPr>
                      <w:rFonts w:ascii="黑体" w:hAnsi="黑体"/>
                    </w:rPr>
                  </w:pPr>
                  <w:r>
                    <w:rPr>
                      <w:rFonts w:hint="eastAsia" w:ascii="黑体" w:hAnsi="黑体"/>
                    </w:rPr>
                    <w:t>2020-05-12发布</w:t>
                  </w:r>
                </w:p>
              </w:txbxContent>
            </v:textbox>
            <w10:anchorlock/>
          </v:shape>
        </w:pict>
      </w:r>
      <w:r>
        <w:pict>
          <v:shape id="fmFrame4" o:spid="_x0000_s1029" o:spt="202" type="#_x0000_t202" style="position:absolute;left:0pt;margin-left:0pt;margin-top:275.5pt;height:328.4pt;width:470pt;mso-position-horizontal-relative:margin;mso-position-vertical-relative:margin;z-index:251656192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86"/>
                    <w:rPr>
                      <w:rFonts w:hAnsi="黑体"/>
                      <w:b/>
                    </w:rPr>
                  </w:pPr>
                  <w:r>
                    <w:rPr>
                      <w:rFonts w:hint="eastAsia" w:hAnsi="黑体"/>
                    </w:rPr>
                    <w:t>鹿酒系列（配制酒）</w:t>
                  </w:r>
                </w:p>
                <w:p>
                  <w:pPr>
                    <w:pStyle w:val="88"/>
                  </w:pPr>
                </w:p>
                <w:p>
                  <w:pPr>
                    <w:pStyle w:val="71"/>
                  </w:pPr>
                </w:p>
                <w:p>
                  <w:pPr>
                    <w:pStyle w:val="82"/>
                  </w:pPr>
                </w:p>
                <w:p>
                  <w:pPr>
                    <w:pStyle w:val="79"/>
                  </w:pPr>
                </w:p>
              </w:txbxContent>
            </v:textbox>
            <w10:anchorlock/>
          </v:shape>
        </w:pict>
      </w:r>
      <w:r>
        <w:pict>
          <v:shape id="fmFrame3" o:spid="_x0000_s1030" o:spt="202" type="#_x0000_t202" style="position:absolute;left:0pt;margin-left:24.15pt;margin-top:131.15pt;height:39pt;width:446.4pt;mso-position-horizontal-relative:margin;mso-position-vertical-relative:margin;z-index:251655168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/>
                <w:p>
                  <w:pPr>
                    <w:ind w:firstLine="6440" w:firstLineChars="2300"/>
                    <w:rPr>
                      <w:rFonts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ascii="黑体" w:hAnsi="黑体" w:eastAsia="黑体"/>
                      <w:sz w:val="28"/>
                      <w:szCs w:val="28"/>
                    </w:rPr>
                    <w:t>Q/GZGJT 0007S-2020</w:t>
                  </w:r>
                </w:p>
                <w:p>
                  <w:pPr>
                    <w:pStyle w:val="70"/>
                    <w:wordWrap w:val="0"/>
                  </w:pPr>
                </w:p>
              </w:txbxContent>
            </v:textbox>
            <w10:anchorlock/>
          </v:shape>
        </w:pict>
      </w:r>
      <w:r>
        <w:pict>
          <v:shape id="fmFrame8" o:spid="_x0000_s1031" o:spt="202" type="#_x0000_t202" style="position:absolute;left:0pt;margin-left:231pt;margin-top:7.8pt;height:56.7pt;width:231pt;mso-position-horizontal-relative:margin;mso-position-vertical-relative:margin;z-index:25165414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100"/>
                    <w:rPr>
                      <w:rFonts w:ascii="黑体" w:hAnsi="黑体" w:eastAsia="黑体"/>
                      <w:b w:val="0"/>
                      <w:szCs w:val="96"/>
                    </w:rPr>
                  </w:pPr>
                  <w:r>
                    <w:rPr>
                      <w:rFonts w:ascii="黑体" w:hAnsi="黑体" w:eastAsia="黑体"/>
                      <w:b w:val="0"/>
                      <w:szCs w:val="96"/>
                    </w:rPr>
                    <w:t>Q/GZGJT</w:t>
                  </w:r>
                </w:p>
              </w:txbxContent>
            </v:textbox>
            <w10:anchorlock/>
          </v:shape>
        </w:pict>
      </w:r>
      <w:r>
        <w:pict>
          <v:shape id="fmFrame2" o:spid="_x0000_s1032" o:spt="202" type="#_x0000_t202" style="position:absolute;left:0pt;margin-left:4.5pt;margin-top:91.7pt;height:30.8pt;width:457.5pt;mso-position-horizontal-relative:margin;mso-position-vertical-relative:margin;z-index:251653120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">
            <v:path/>
            <v:fill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85"/>
                    <w:rPr>
                      <w:rFonts w:hAnsi="黑体"/>
                    </w:rPr>
                  </w:pPr>
                  <w:r>
                    <w:rPr>
                      <w:rFonts w:hint="eastAsia" w:hAnsi="黑体"/>
                    </w:rPr>
                    <w:t>贵州省食品安全企业标准</w:t>
                  </w:r>
                </w:p>
              </w:txbxContent>
            </v:textbox>
            <w10:anchorlock/>
          </v:shape>
        </w:pict>
      </w:r>
    </w:p>
    <w:bookmarkEnd w:id="0"/>
    <w:p>
      <w:pPr>
        <w:pStyle w:val="52"/>
        <w:rPr>
          <w:rFonts w:hAnsi="黑体"/>
          <w:szCs w:val="32"/>
        </w:rPr>
      </w:pPr>
      <w:bookmarkStart w:id="1" w:name="SectionMark2"/>
      <w:r>
        <w:rPr>
          <w:rFonts w:hint="eastAsia" w:hAnsi="黑体"/>
          <w:szCs w:val="32"/>
        </w:rPr>
        <w:t>前  言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本标准根据</w:t>
      </w:r>
      <w:r>
        <w:rPr>
          <w:rFonts w:hint="eastAsia" w:ascii="宋体" w:hAnsi="宋体"/>
          <w:szCs w:val="21"/>
        </w:rPr>
        <w:t>GB/T 1.1-2009《</w:t>
      </w:r>
      <w:r>
        <w:rPr>
          <w:rFonts w:hint="eastAsia"/>
          <w:szCs w:val="21"/>
        </w:rPr>
        <w:t>标准化工作导则</w:t>
      </w:r>
      <w:r>
        <w:rPr>
          <w:rFonts w:ascii="Arial" w:hAnsi="Arial" w:cs="Arial"/>
          <w:szCs w:val="21"/>
        </w:rPr>
        <w:t>第1部分：标准的结构和编写</w:t>
      </w:r>
      <w:r>
        <w:rPr>
          <w:rFonts w:hint="eastAsia"/>
          <w:szCs w:val="21"/>
        </w:rPr>
        <w:t>》而制定。</w:t>
      </w:r>
    </w:p>
    <w:p>
      <w:pPr>
        <w:numPr>
          <w:ilvl w:val="0"/>
          <w:numId w:val="1"/>
        </w:numPr>
        <w:ind w:firstLine="420" w:firstLineChars="200"/>
        <w:rPr>
          <w:szCs w:val="21"/>
        </w:rPr>
      </w:pPr>
      <w:r>
        <w:rPr>
          <w:rFonts w:hint="eastAsia"/>
          <w:szCs w:val="21"/>
        </w:rPr>
        <w:t>本标准由贵州广济堂药业有限公司提出。</w:t>
      </w:r>
    </w:p>
    <w:p>
      <w:pPr>
        <w:numPr>
          <w:ilvl w:val="0"/>
          <w:numId w:val="1"/>
        </w:numPr>
        <w:ind w:firstLine="420" w:firstLineChars="200"/>
        <w:rPr>
          <w:szCs w:val="21"/>
        </w:rPr>
      </w:pPr>
      <w:r>
        <w:rPr>
          <w:rFonts w:hint="eastAsia"/>
          <w:szCs w:val="21"/>
        </w:rPr>
        <w:t>本标准起草单位：贵州广济堂药业有限公司。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本标准主要起草人：</w:t>
      </w:r>
      <w:r>
        <w:rPr>
          <w:rFonts w:hint="eastAsia" w:hAnsi="宋体"/>
          <w:color w:val="000000"/>
          <w:szCs w:val="21"/>
        </w:rPr>
        <w:t>张童、徐浩坤、侯蓉</w:t>
      </w:r>
      <w:r>
        <w:rPr>
          <w:rFonts w:hint="eastAsia" w:ascii="宋体" w:hAnsi="宋体"/>
          <w:szCs w:val="21"/>
        </w:rPr>
        <w:t>。</w:t>
      </w:r>
    </w:p>
    <w:p>
      <w:pPr>
        <w:ind w:left="1" w:firstLine="480" w:firstLineChars="200"/>
        <w:jc w:val="center"/>
        <w:rPr>
          <w:sz w:val="24"/>
        </w:rPr>
      </w:pPr>
    </w:p>
    <w:p>
      <w:pPr>
        <w:pStyle w:val="48"/>
        <w:ind w:firstLine="420"/>
        <w:sectPr>
          <w:headerReference r:id="rId4" w:type="default"/>
          <w:footerReference r:id="rId5" w:type="default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 w:num="1"/>
          <w:docGrid w:type="lines" w:linePitch="312" w:charSpace="0"/>
        </w:sectPr>
      </w:pPr>
    </w:p>
    <w:bookmarkEnd w:id="1"/>
    <w:p>
      <w:pPr>
        <w:pStyle w:val="86"/>
        <w:spacing w:beforeLines="150" w:afterLines="150" w:line="240" w:lineRule="auto"/>
        <w:rPr>
          <w:rFonts w:hAnsi="黑体"/>
          <w:sz w:val="32"/>
          <w:szCs w:val="32"/>
        </w:rPr>
      </w:pPr>
      <w:bookmarkStart w:id="2" w:name="_Hlk521873702"/>
      <w:bookmarkStart w:id="3" w:name="SectionMark4"/>
      <w:r>
        <w:rPr>
          <w:rFonts w:hint="eastAsia" w:hAnsi="黑体"/>
          <w:sz w:val="32"/>
          <w:szCs w:val="32"/>
        </w:rPr>
        <w:t>鹿酒系列（配制酒）</w:t>
      </w:r>
    </w:p>
    <w:bookmarkEnd w:id="2"/>
    <w:p>
      <w:pPr>
        <w:pStyle w:val="107"/>
        <w:numPr>
          <w:ilvl w:val="0"/>
          <w:numId w:val="2"/>
        </w:numPr>
        <w:spacing w:beforeLines="100" w:afterLines="100"/>
        <w:ind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范围</w:t>
      </w:r>
    </w:p>
    <w:p>
      <w:pPr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本标准规定了鹿酒系列（配制酒）</w:t>
      </w:r>
      <w:r>
        <w:rPr>
          <w:rFonts w:hint="eastAsia"/>
          <w:szCs w:val="21"/>
        </w:rPr>
        <w:t>的要求（含检验方法）、检验规则、标签、标志、包装、运输和贮存。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本标准适用于以第3章所列为原料，经预处理、配料、浸泡、调配、过滤、灌装、包装制成的鹿酒系列（配制酒）。</w:t>
      </w:r>
    </w:p>
    <w:p>
      <w:pPr>
        <w:numPr>
          <w:ilvl w:val="0"/>
          <w:numId w:val="3"/>
        </w:numPr>
        <w:spacing w:beforeLines="100" w:afterLines="100"/>
        <w:ind w:left="0" w:firstLine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规范性引用文件</w:t>
      </w:r>
    </w:p>
    <w:p>
      <w:pPr>
        <w:pStyle w:val="48"/>
        <w:ind w:firstLine="420"/>
        <w:rPr>
          <w:rFonts w:hAnsi="宋体"/>
        </w:rPr>
      </w:pPr>
      <w:r>
        <w:rPr>
          <w:rFonts w:hint="eastAsia" w:hAnsi="宋体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</w:t>
      </w:r>
      <w:r>
        <w:rPr>
          <w:rFonts w:ascii="宋体" w:hAnsi="宋体"/>
        </w:rPr>
        <w:t>/T</w:t>
      </w:r>
      <w:r>
        <w:rPr>
          <w:rFonts w:hint="eastAsia" w:ascii="宋体" w:hAnsi="宋体"/>
        </w:rPr>
        <w:t xml:space="preserve"> 191  包装储运图示标志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1886.64  食品安全国家标准 食品添加剂 焦糖色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1886.234  食品安全国家标准 食品添加剂 木糖醇</w:t>
      </w:r>
    </w:p>
    <w:p>
      <w:pPr>
        <w:pStyle w:val="48"/>
        <w:ind w:firstLine="420"/>
        <w:rPr>
          <w:rFonts w:hAnsi="宋体"/>
          <w:szCs w:val="21"/>
        </w:rPr>
      </w:pPr>
      <w:r>
        <w:rPr>
          <w:rFonts w:hint="eastAsia" w:hAnsi="宋体"/>
          <w:szCs w:val="21"/>
        </w:rPr>
        <w:t>GB 2757  食品安全国家标准 蒸馏酒及其配制酒</w:t>
      </w:r>
    </w:p>
    <w:p>
      <w:pPr>
        <w:pStyle w:val="48"/>
        <w:ind w:firstLine="420"/>
        <w:rPr>
          <w:rFonts w:hAnsi="宋体"/>
          <w:bCs/>
        </w:rPr>
      </w:pPr>
      <w:r>
        <w:rPr>
          <w:rStyle w:val="32"/>
          <w:rFonts w:hint="eastAsia" w:hAnsi="宋体"/>
          <w:b w:val="0"/>
        </w:rPr>
        <w:t xml:space="preserve">GB 2760  </w:t>
      </w:r>
      <w:r>
        <w:rPr>
          <w:rFonts w:hint="eastAsia" w:hAnsi="宋体"/>
          <w:color w:val="000000"/>
        </w:rPr>
        <w:t xml:space="preserve">食品安全国家标准 </w:t>
      </w:r>
      <w:r>
        <w:rPr>
          <w:rFonts w:hint="eastAsia" w:hAnsi="宋体"/>
          <w:bCs/>
        </w:rPr>
        <w:t>食品添加剂使用标准</w:t>
      </w:r>
    </w:p>
    <w:p>
      <w:pPr>
        <w:pStyle w:val="48"/>
        <w:ind w:firstLine="420"/>
        <w:rPr>
          <w:rFonts w:hAnsi="宋体"/>
          <w:bCs/>
        </w:rPr>
      </w:pPr>
      <w:r>
        <w:rPr>
          <w:rFonts w:hint="eastAsia" w:hAnsi="宋体"/>
          <w:bCs/>
        </w:rPr>
        <w:t>GB 4806.4  食品安全国家标准 陶瓷制品</w:t>
      </w:r>
    </w:p>
    <w:p>
      <w:pPr>
        <w:pStyle w:val="48"/>
        <w:ind w:firstLine="420"/>
        <w:rPr>
          <w:rFonts w:hAnsi="宋体"/>
          <w:bCs/>
        </w:rPr>
      </w:pPr>
      <w:r>
        <w:rPr>
          <w:rFonts w:hint="eastAsia" w:hAnsi="宋体"/>
          <w:bCs/>
        </w:rPr>
        <w:t>GB 4806.5  食品安全国家标准 玻璃制品</w:t>
      </w:r>
    </w:p>
    <w:p>
      <w:pPr>
        <w:pStyle w:val="48"/>
        <w:ind w:firstLine="420"/>
        <w:rPr>
          <w:rFonts w:hAnsi="宋体"/>
          <w:szCs w:val="21"/>
        </w:rPr>
      </w:pPr>
      <w:r>
        <w:rPr>
          <w:rFonts w:hint="eastAsia" w:hAnsi="宋体"/>
          <w:bCs/>
          <w:szCs w:val="21"/>
        </w:rPr>
        <w:t xml:space="preserve">GB 5009.12  </w:t>
      </w:r>
      <w:r>
        <w:rPr>
          <w:rFonts w:hint="eastAsia" w:hAnsi="宋体"/>
        </w:rPr>
        <w:t xml:space="preserve">食品安全国家标准 </w:t>
      </w:r>
      <w:r>
        <w:rPr>
          <w:rFonts w:hint="eastAsia" w:hAnsi="宋体"/>
          <w:szCs w:val="21"/>
        </w:rPr>
        <w:t>食品中铅的测定</w:t>
      </w:r>
    </w:p>
    <w:p>
      <w:pPr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bCs/>
          <w:szCs w:val="21"/>
        </w:rPr>
        <w:t>GB 5009.36  食品安全国家标准 食品中氰化物的测定</w:t>
      </w:r>
    </w:p>
    <w:p>
      <w:pPr>
        <w:widowControl/>
        <w:ind w:firstLine="407" w:firstLineChars="194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GB 5009.225  食品安全国家标准 酒中乙醇浓度的测定</w:t>
      </w:r>
    </w:p>
    <w:p>
      <w:pPr>
        <w:widowControl/>
        <w:ind w:firstLine="407" w:firstLineChars="194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GB 5009.266  食品安全国家标准 食品中甲醇的测定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t>GB 5749 生活饮用水卫生标准</w:t>
      </w:r>
    </w:p>
    <w:p>
      <w:pPr>
        <w:ind w:left="420" w:leftChars="200" w:firstLine="4" w:firstLineChars="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GB/T 6543  运输包装用单瓦楞纸箱和双瓦楞纸箱</w:t>
      </w:r>
    </w:p>
    <w:p>
      <w:pPr>
        <w:pStyle w:val="48"/>
        <w:ind w:firstLine="420"/>
        <w:rPr>
          <w:rFonts w:hAnsi="宋体"/>
        </w:rPr>
      </w:pPr>
      <w:r>
        <w:rPr>
          <w:rFonts w:hint="eastAsia" w:hAnsi="宋体"/>
          <w:szCs w:val="21"/>
        </w:rPr>
        <w:t xml:space="preserve">GB 7718  </w:t>
      </w:r>
      <w:r>
        <w:rPr>
          <w:rFonts w:hint="eastAsia" w:hAnsi="宋体"/>
        </w:rPr>
        <w:t>食品安全国家标准 预包装食品标签通则</w:t>
      </w:r>
    </w:p>
    <w:p>
      <w:pPr>
        <w:pStyle w:val="48"/>
        <w:ind w:firstLine="420"/>
        <w:rPr>
          <w:rFonts w:hAnsi="宋体"/>
        </w:rPr>
      </w:pPr>
      <w:r>
        <w:rPr>
          <w:rFonts w:hint="eastAsia" w:hAnsi="宋体"/>
        </w:rPr>
        <w:t>GB/T 10345  白酒分析方法</w:t>
      </w:r>
    </w:p>
    <w:p>
      <w:pPr>
        <w:pStyle w:val="48"/>
        <w:ind w:firstLine="420"/>
        <w:rPr>
          <w:rFonts w:hAnsi="宋体"/>
          <w:szCs w:val="21"/>
        </w:rPr>
      </w:pPr>
      <w:r>
        <w:rPr>
          <w:rFonts w:hAnsi="宋体"/>
          <w:szCs w:val="21"/>
        </w:rPr>
        <w:t>GB 1</w:t>
      </w:r>
      <w:r>
        <w:rPr>
          <w:rFonts w:hint="eastAsia" w:hAnsi="宋体"/>
          <w:szCs w:val="21"/>
        </w:rPr>
        <w:t xml:space="preserve">3104 </w:t>
      </w:r>
      <w:r>
        <w:rPr>
          <w:rFonts w:hAnsi="宋体"/>
          <w:szCs w:val="21"/>
        </w:rPr>
        <w:t xml:space="preserve"> 食品安全国家标准 </w:t>
      </w:r>
      <w:r>
        <w:rPr>
          <w:rFonts w:hint="eastAsia" w:hAnsi="宋体"/>
          <w:szCs w:val="21"/>
        </w:rPr>
        <w:t>食糖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GB 14881  食品安全国家标准</w:t>
      </w:r>
      <w:r>
        <w:rPr>
          <w:rFonts w:ascii="宋体" w:hAnsi="宋体"/>
        </w:rPr>
        <w:t>食品</w:t>
      </w:r>
      <w:r>
        <w:rPr>
          <w:rFonts w:hint="eastAsia" w:ascii="宋体" w:hAnsi="宋体"/>
        </w:rPr>
        <w:t>生产</w:t>
      </w:r>
      <w:r>
        <w:rPr>
          <w:rFonts w:ascii="宋体" w:hAnsi="宋体"/>
        </w:rPr>
        <w:t>通用卫生规范</w:t>
      </w:r>
    </w:p>
    <w:p>
      <w:pPr>
        <w:pStyle w:val="48"/>
        <w:ind w:firstLine="420"/>
        <w:rPr>
          <w:rFonts w:hAnsi="宋体"/>
          <w:szCs w:val="21"/>
        </w:rPr>
      </w:pPr>
      <w:r>
        <w:rPr>
          <w:rFonts w:hAnsi="宋体"/>
          <w:szCs w:val="21"/>
        </w:rPr>
        <w:t>GB 14963 食品安全国家标准 蜂蜜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t>GB/T 29370 柠檬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GB 31640 食品安全国家标准 食用酒精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JJF 1070  定量包装商品净含量计量检验规则</w:t>
      </w:r>
    </w:p>
    <w:p>
      <w:pPr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国家质量监督检验检疫总局75号令（2005）定量包装商品计量监督管理办法</w:t>
      </w:r>
    </w:p>
    <w:p>
      <w:pPr>
        <w:ind w:firstLine="420" w:firstLineChars="200"/>
        <w:jc w:val="left"/>
        <w:rPr>
          <w:rFonts w:ascii="宋体" w:hAnsi="宋体" w:cs="宋体"/>
          <w:kern w:val="36"/>
          <w:szCs w:val="21"/>
        </w:rPr>
      </w:pPr>
      <w:r>
        <w:rPr>
          <w:rFonts w:hint="eastAsia" w:ascii="宋体" w:hAnsi="宋体" w:cs="宋体"/>
          <w:kern w:val="36"/>
          <w:szCs w:val="21"/>
        </w:rPr>
        <w:t>卫生部关于进一步规范保健食品原料管理的通知(卫法监发[2002]51号)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0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3号 关于批准玫瑰花（重瓣红玫瑰）等7种物品为新资源食品的公告</w:t>
      </w:r>
    </w:p>
    <w:p>
      <w:pPr>
        <w:adjustRightInd w:val="0"/>
        <w:snapToGrid w:val="0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17</w:t>
      </w:r>
      <w:r>
        <w:rPr>
          <w:rFonts w:ascii="宋体" w:hAnsi="宋体"/>
          <w:szCs w:val="21"/>
        </w:rPr>
        <w:t>号关于批准人参（人工种植）为新资源食品的公告</w:t>
      </w:r>
    </w:p>
    <w:p>
      <w:pPr>
        <w:ind w:firstLine="420" w:firstLineChars="200"/>
        <w:rPr>
          <w:rFonts w:ascii="宋体" w:hAnsi="宋体"/>
          <w:bCs/>
          <w:szCs w:val="21"/>
          <w:shd w:val="clear" w:color="auto" w:fill="FFFFFF"/>
        </w:rPr>
      </w:pPr>
      <w:r>
        <w:rPr>
          <w:rFonts w:ascii="宋体" w:hAnsi="宋体" w:cs="宋体"/>
          <w:kern w:val="0"/>
          <w:szCs w:val="21"/>
        </w:rPr>
        <w:t>卫生部卫监督函〔2012〕8号</w:t>
      </w:r>
      <w:r>
        <w:rPr>
          <w:rFonts w:hint="eastAsia" w:ascii="宋体" w:hAnsi="宋体"/>
          <w:bCs/>
          <w:szCs w:val="21"/>
          <w:shd w:val="clear" w:color="auto" w:fill="FFFFFF"/>
        </w:rPr>
        <w:t>卫生部关于养殖梅花鹿副产品作为普通食品有关问题的批复</w:t>
      </w:r>
    </w:p>
    <w:p>
      <w:pPr>
        <w:adjustRightInd w:val="0"/>
        <w:snapToGrid w:val="0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国家卫生计生委公告2014年第10号  关于批准塔格糖等6种新食品原料的公告</w:t>
      </w:r>
    </w:p>
    <w:p>
      <w:pPr>
        <w:adjustRightInd w:val="0"/>
        <w:snapToGrid w:val="0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中华人民共和国农业农村部公告2020年第303号  国家畜禽遗传资源目录</w:t>
      </w:r>
    </w:p>
    <w:p>
      <w:pPr>
        <w:numPr>
          <w:ilvl w:val="0"/>
          <w:numId w:val="3"/>
        </w:numPr>
        <w:spacing w:beforeLines="100" w:afterLines="100"/>
        <w:ind w:left="0" w:firstLine="0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>分类</w:t>
      </w:r>
    </w:p>
    <w:p>
      <w:pPr>
        <w:ind w:firstLine="420" w:firstLineChars="200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产品根据添加的原辅料不同分类，详见表1。</w:t>
      </w:r>
    </w:p>
    <w:p>
      <w:pPr>
        <w:adjustRightInd w:val="0"/>
        <w:snapToGrid w:val="0"/>
        <w:spacing w:beforeLines="50" w:afterLines="5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表1</w:t>
      </w:r>
    </w:p>
    <w:tbl>
      <w:tblPr>
        <w:tblStyle w:val="29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8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828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原辅料、添加剂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鹿鞭酒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鹿筋酒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鹿尾酒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鹿血酒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鹿胶酒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鹿脑酒</w:t>
            </w:r>
          </w:p>
        </w:tc>
        <w:tc>
          <w:tcPr>
            <w:tcW w:w="828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原料：粮食蒸馏酒（</w:t>
            </w:r>
            <w:r>
              <w:rPr>
                <w:sz w:val="18"/>
                <w:szCs w:val="18"/>
              </w:rPr>
              <w:t>浓香型白酒</w:t>
            </w:r>
            <w:r>
              <w:rPr>
                <w:rFonts w:hint="eastAsia"/>
                <w:sz w:val="18"/>
                <w:szCs w:val="18"/>
              </w:rPr>
              <w:t>、清香型白酒、酱香型白酒、米香型白酒、浓酱兼香型白酒）、水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泡酒料：鹿脑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、枸杞子、大枣、干姜、桂皮、高良姜，加或不加鹿胶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、鹿鞭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、鹿尾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、鹿筋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、鹿血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人工养殖梅花鹿、马鹿、驯鹿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、甘草、人参（人工种植）、黄精、山药、蛹虫草、乌梢蛇、茯苓、重瓣玫瑰花、菊花、金银花、蒲公英、山楂、乌梅、桑椹、益智仁、酸枣仁、罗汉果、青果、栀子、桔红、柠檬、蜂蜜、红糖、冰糖、食用酒精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食品添加剂：木糖醇、焦糖色</w:t>
            </w:r>
          </w:p>
        </w:tc>
      </w:tr>
    </w:tbl>
    <w:p>
      <w:pPr>
        <w:spacing w:beforeLines="100" w:afterLines="100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 xml:space="preserve">4  要求 </w:t>
      </w:r>
    </w:p>
    <w:bookmarkEnd w:id="3"/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>4.1 原料要求</w:t>
      </w:r>
    </w:p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>4.1.1  白酒</w:t>
      </w:r>
    </w:p>
    <w:p>
      <w:pPr>
        <w:pStyle w:val="63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hint="eastAsia" w:ascii="宋体" w:hAnsi="宋体" w:eastAsia="宋体"/>
        </w:rPr>
        <w:t>GB 2757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 xml:space="preserve">4.1.2  生产用水 </w:t>
      </w:r>
    </w:p>
    <w:p>
      <w:pPr>
        <w:pStyle w:val="63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ascii="宋体" w:hAnsi="宋体" w:eastAsia="宋体"/>
          <w:szCs w:val="21"/>
        </w:rPr>
        <w:t>GB 5749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>4.1.3  枸杞子、大枣、干姜、高良姜、甘草、黄精、山药、乌梢蛇、茯苓、菊花、金银花、蒲公英、山楂、乌梅、桑椹、益智仁、酸枣仁、罗汉果、青果、栀子、桔红</w:t>
      </w:r>
    </w:p>
    <w:p>
      <w:pPr>
        <w:pStyle w:val="63"/>
        <w:ind w:firstLine="42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应无霉变、无劣变、无异味，无杂物,无肉眼可见外来杂质，符合相应食品安全国家标准的规定。应符合卫法监发[2002]51号通知中食药两用物品名单要求的规定。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4.1.4  人参（人工种植）</w:t>
      </w:r>
    </w:p>
    <w:p>
      <w:pPr>
        <w:pStyle w:val="48"/>
        <w:spacing w:line="240" w:lineRule="atLeast"/>
        <w:ind w:firstLine="42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szCs w:val="21"/>
        </w:rPr>
        <w:t>应符合</w:t>
      </w:r>
      <w:r>
        <w:rPr>
          <w:rFonts w:hint="eastAsia" w:hAnsi="宋体"/>
          <w:szCs w:val="21"/>
        </w:rPr>
        <w:t>卫生部公告</w:t>
      </w:r>
      <w:r>
        <w:rPr>
          <w:rFonts w:hAnsi="宋体"/>
          <w:szCs w:val="21"/>
        </w:rPr>
        <w:t>201</w:t>
      </w:r>
      <w:r>
        <w:rPr>
          <w:rFonts w:hint="eastAsia" w:hAnsi="宋体"/>
          <w:szCs w:val="21"/>
        </w:rPr>
        <w:t>2</w:t>
      </w:r>
      <w:r>
        <w:rPr>
          <w:rFonts w:hAnsi="宋体"/>
          <w:szCs w:val="21"/>
        </w:rPr>
        <w:t>年第</w:t>
      </w:r>
      <w:r>
        <w:rPr>
          <w:rFonts w:hint="eastAsia" w:hAnsi="宋体"/>
          <w:szCs w:val="21"/>
        </w:rPr>
        <w:t>17</w:t>
      </w:r>
      <w:r>
        <w:rPr>
          <w:rFonts w:hAnsi="宋体"/>
          <w:szCs w:val="21"/>
        </w:rPr>
        <w:t>号</w:t>
      </w:r>
      <w:r>
        <w:rPr>
          <w:rFonts w:hint="eastAsia" w:asciiTheme="minorEastAsia" w:hAnsiTheme="minorEastAsia" w:eastAsiaTheme="minorEastAsia"/>
        </w:rPr>
        <w:t>的</w:t>
      </w:r>
      <w:r>
        <w:rPr>
          <w:rFonts w:hint="eastAsia" w:asciiTheme="minorEastAsia" w:hAnsiTheme="minorEastAsia" w:eastAsiaTheme="minorEastAsia"/>
          <w:szCs w:val="21"/>
        </w:rPr>
        <w:t>规定。</w:t>
      </w:r>
    </w:p>
    <w:p>
      <w:pPr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4.1.5  蛹虫草</w:t>
      </w:r>
    </w:p>
    <w:p>
      <w:pPr>
        <w:ind w:firstLine="42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应符合</w:t>
      </w:r>
      <w:r>
        <w:rPr>
          <w:rFonts w:hint="eastAsia" w:ascii="宋体" w:hAnsi="宋体"/>
          <w:szCs w:val="21"/>
        </w:rPr>
        <w:t>国家卫生计生委公告</w:t>
      </w:r>
      <w:r>
        <w:rPr>
          <w:rFonts w:hint="eastAsia" w:asciiTheme="minorEastAsia" w:hAnsiTheme="minorEastAsia" w:eastAsiaTheme="minorEastAsia"/>
        </w:rPr>
        <w:t>2014年第10号的规定。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4.1.6  </w:t>
      </w:r>
      <w:r>
        <w:rPr>
          <w:rFonts w:hint="eastAsia" w:ascii="黑体" w:hAnsi="黑体" w:eastAsia="黑体"/>
          <w:szCs w:val="21"/>
        </w:rPr>
        <w:t>鹿血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、鹿胶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、鹿鞭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、鹿尾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、鹿筋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  <w:r>
        <w:rPr>
          <w:rFonts w:hint="eastAsia" w:ascii="黑体" w:hAnsi="黑体" w:eastAsia="黑体"/>
          <w:szCs w:val="21"/>
        </w:rPr>
        <w:t>、鹿脑</w:t>
      </w:r>
      <w:r>
        <w:rPr>
          <w:rFonts w:hint="eastAsia" w:ascii="黑体" w:hAnsi="黑体" w:eastAsia="黑体"/>
          <w:szCs w:val="21"/>
          <w:lang w:eastAsia="zh-CN"/>
        </w:rPr>
        <w:t>（</w:t>
      </w:r>
      <w:r>
        <w:rPr>
          <w:rFonts w:hint="eastAsia" w:ascii="黑体" w:hAnsi="黑体" w:eastAsia="黑体"/>
          <w:szCs w:val="21"/>
          <w:lang w:val="en-US" w:eastAsia="zh-CN"/>
        </w:rPr>
        <w:t>人工养殖梅花鹿、马鹿、驯鹿</w:t>
      </w:r>
      <w:r>
        <w:rPr>
          <w:rFonts w:hint="eastAsia" w:ascii="黑体" w:hAnsi="黑体" w:eastAsia="黑体"/>
          <w:szCs w:val="21"/>
          <w:lang w:eastAsia="zh-CN"/>
        </w:rPr>
        <w:t>）</w:t>
      </w:r>
    </w:p>
    <w:p>
      <w:pPr>
        <w:ind w:firstLine="420" w:firstLineChars="200"/>
        <w:rPr>
          <w:rFonts w:hint="eastAsia" w:cs="Times New Roman" w:asciiTheme="minorEastAsia" w:hAnsiTheme="minorEastAsia" w:eastAsiaTheme="minorEastAsia"/>
          <w:kern w:val="0"/>
          <w:sz w:val="21"/>
          <w:szCs w:val="22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kern w:val="0"/>
          <w:sz w:val="21"/>
          <w:szCs w:val="22"/>
          <w:lang w:val="en-US" w:eastAsia="zh-CN" w:bidi="ar-SA"/>
        </w:rPr>
        <w:t>应符合卫生部卫监督函〔2012〕8号的规定。</w:t>
      </w:r>
      <w:bookmarkStart w:id="5" w:name="_GoBack"/>
      <w:bookmarkEnd w:id="5"/>
    </w:p>
    <w:p>
      <w:pPr>
        <w:adjustRightInd w:val="0"/>
        <w:snapToGrid w:val="0"/>
        <w:ind w:firstLine="420" w:firstLineChars="200"/>
        <w:rPr>
          <w:rFonts w:hint="eastAsia" w:cs="Times New Roman" w:asciiTheme="minorEastAsia" w:hAnsiTheme="minorEastAsia" w:eastAsiaTheme="minorEastAsia"/>
          <w:kern w:val="0"/>
          <w:sz w:val="21"/>
          <w:szCs w:val="22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kern w:val="0"/>
          <w:sz w:val="21"/>
          <w:szCs w:val="22"/>
          <w:lang w:val="en-US" w:eastAsia="zh-CN" w:bidi="ar-SA"/>
        </w:rPr>
        <w:t>应符合中华人民共和国农业农村部公告2020年第303号的规定。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4.1.7  </w:t>
      </w:r>
      <w:r>
        <w:rPr>
          <w:rFonts w:hint="eastAsia" w:ascii="黑体" w:hAnsi="黑体" w:eastAsia="黑体"/>
          <w:szCs w:val="21"/>
        </w:rPr>
        <w:t>柠檬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GB/T 29370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4.1.8  </w:t>
      </w:r>
      <w:r>
        <w:rPr>
          <w:rFonts w:hint="eastAsia" w:ascii="黑体" w:hAnsi="黑体" w:eastAsia="黑体"/>
          <w:szCs w:val="21"/>
        </w:rPr>
        <w:t>蜂蜜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</w:t>
      </w:r>
      <w:r>
        <w:rPr>
          <w:rFonts w:hint="eastAsia" w:ascii="宋体" w:hAnsi="宋体"/>
        </w:rPr>
        <w:t xml:space="preserve"> 14963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4.1.9  </w:t>
      </w:r>
      <w:r>
        <w:rPr>
          <w:rFonts w:hint="eastAsia" w:ascii="黑体" w:hAnsi="黑体" w:eastAsia="黑体"/>
          <w:szCs w:val="21"/>
        </w:rPr>
        <w:t>红糖、冰糖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/>
        </w:rPr>
        <w:t>GB</w:t>
      </w:r>
      <w:r>
        <w:rPr>
          <w:rFonts w:hint="eastAsia" w:ascii="宋体" w:hAnsi="宋体"/>
        </w:rPr>
        <w:t xml:space="preserve"> 13104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  <w:szCs w:val="21"/>
        </w:rPr>
        <w:t xml:space="preserve">4.1.10  </w:t>
      </w:r>
      <w:r>
        <w:rPr>
          <w:rFonts w:hint="eastAsia" w:ascii="黑体" w:hAnsi="黑体" w:eastAsia="黑体"/>
          <w:szCs w:val="21"/>
        </w:rPr>
        <w:t>桂皮</w:t>
      </w:r>
    </w:p>
    <w:p>
      <w:pPr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Theme="minorEastAsia" w:hAnsiTheme="minorEastAsia" w:eastAsiaTheme="minorEastAsia"/>
        </w:rPr>
        <w:t>GB/T 30381</w:t>
      </w:r>
      <w:r>
        <w:rPr>
          <w:rFonts w:hint="eastAsia"/>
        </w:rPr>
        <w:t>的</w:t>
      </w:r>
      <w:r>
        <w:rPr>
          <w:rFonts w:hint="eastAsia" w:ascii="宋体" w:hAnsi="宋体"/>
          <w:szCs w:val="21"/>
        </w:rPr>
        <w:t>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4.1.11  食用酒精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Theme="minorEastAsia" w:hAnsiTheme="minorEastAsia" w:eastAsiaTheme="minorEastAsia"/>
        </w:rPr>
        <w:t>GB 31640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4.1.12  玫瑰花（重瓣红玫瑰）</w:t>
      </w:r>
    </w:p>
    <w:p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应符合</w:t>
      </w:r>
      <w:r>
        <w:rPr>
          <w:rFonts w:hint="eastAsia" w:ascii="宋体" w:hAnsi="宋体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hint="eastAsia" w:ascii="宋体" w:hAnsi="宋体"/>
          <w:szCs w:val="21"/>
        </w:rPr>
        <w:t>0</w:t>
      </w:r>
      <w:r>
        <w:rPr>
          <w:rFonts w:ascii="宋体" w:hAnsi="宋体"/>
          <w:szCs w:val="21"/>
        </w:rPr>
        <w:t>年第</w:t>
      </w:r>
      <w:r>
        <w:rPr>
          <w:rFonts w:hint="eastAsia" w:ascii="宋体" w:hAnsi="宋体"/>
          <w:szCs w:val="21"/>
        </w:rPr>
        <w:t>3号</w:t>
      </w:r>
      <w:r>
        <w:rPr>
          <w:rFonts w:hint="eastAsia" w:asciiTheme="minorEastAsia" w:hAnsiTheme="minorEastAsia" w:eastAsiaTheme="minorEastAsia"/>
        </w:rPr>
        <w:t>的</w:t>
      </w:r>
      <w:r>
        <w:rPr>
          <w:rFonts w:hint="eastAsia" w:asciiTheme="minorEastAsia" w:hAnsiTheme="minorEastAsia" w:eastAsiaTheme="minorEastAsia"/>
          <w:szCs w:val="21"/>
        </w:rPr>
        <w:t>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4.1.13  </w:t>
      </w:r>
      <w:r>
        <w:rPr>
          <w:rFonts w:hint="eastAsia" w:ascii="黑体" w:hAnsi="黑体" w:eastAsia="黑体" w:cs="黑体"/>
          <w:szCs w:val="21"/>
        </w:rPr>
        <w:t xml:space="preserve">食品添加剂 </w:t>
      </w:r>
      <w:r>
        <w:rPr>
          <w:rFonts w:hint="eastAsia" w:ascii="黑体" w:hAnsi="黑体" w:eastAsia="黑体"/>
          <w:szCs w:val="21"/>
        </w:rPr>
        <w:t>焦糖色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>GB 1886.64</w:t>
      </w:r>
      <w:r>
        <w:rPr>
          <w:rFonts w:hint="eastAsia" w:ascii="宋体" w:hAnsi="宋体"/>
          <w:szCs w:val="21"/>
        </w:rPr>
        <w:t>的规定。</w:t>
      </w:r>
    </w:p>
    <w:p>
      <w:pPr>
        <w:tabs>
          <w:tab w:val="left" w:pos="5400"/>
        </w:tabs>
        <w:adjustRightInd w:val="0"/>
        <w:snapToGrid w:val="0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4.1.14  食品添加剂 木糖醇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>GB 1886.234</w:t>
      </w:r>
      <w:r>
        <w:rPr>
          <w:rFonts w:hint="eastAsia" w:ascii="宋体" w:hAnsi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Cs w:val="21"/>
        </w:rPr>
        <w:t xml:space="preserve">4.1.15  </w:t>
      </w:r>
      <w:r>
        <w:rPr>
          <w:rFonts w:hint="eastAsia" w:ascii="黑体" w:hAnsi="黑体" w:eastAsia="黑体" w:cs="黑体"/>
        </w:rPr>
        <w:t>其他原辅料</w:t>
      </w:r>
    </w:p>
    <w:p>
      <w:pPr>
        <w:ind w:firstLine="405"/>
        <w:rPr>
          <w:rFonts w:ascii="宋体" w:hAnsi="宋体"/>
        </w:rPr>
      </w:pPr>
      <w:r>
        <w:rPr>
          <w:rFonts w:hint="eastAsia" w:hAnsi="宋体" w:cs="宋体"/>
          <w:szCs w:val="21"/>
        </w:rPr>
        <w:t>应符合</w:t>
      </w:r>
      <w:r>
        <w:rPr>
          <w:rFonts w:hint="eastAsia"/>
        </w:rPr>
        <w:t>食品安全国家标准及相关规定。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4.2  感官要求</w:t>
      </w:r>
    </w:p>
    <w:p>
      <w:pPr>
        <w:pStyle w:val="48"/>
        <w:ind w:firstLine="420"/>
        <w:rPr>
          <w:rFonts w:hAnsi="宋体"/>
          <w:bCs/>
          <w:szCs w:val="21"/>
        </w:rPr>
      </w:pPr>
      <w:r>
        <w:rPr>
          <w:rFonts w:hint="eastAsia" w:hAnsi="宋体"/>
          <w:bCs/>
          <w:szCs w:val="21"/>
        </w:rPr>
        <w:t>应符合表1的规定。</w:t>
      </w:r>
    </w:p>
    <w:p>
      <w:pPr>
        <w:pStyle w:val="48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1</w:t>
      </w:r>
    </w:p>
    <w:tbl>
      <w:tblPr>
        <w:tblStyle w:val="29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0"/>
        <w:gridCol w:w="4394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项   目</w:t>
            </w:r>
          </w:p>
        </w:tc>
        <w:tc>
          <w:tcPr>
            <w:tcW w:w="4394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要  求</w:t>
            </w:r>
          </w:p>
        </w:tc>
        <w:tc>
          <w:tcPr>
            <w:tcW w:w="2771" w:type="dxa"/>
          </w:tcPr>
          <w:p>
            <w:pPr>
              <w:pStyle w:val="48"/>
              <w:spacing w:line="360" w:lineRule="exact"/>
              <w:ind w:firstLine="0" w:firstLineChars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  <w:vAlign w:val="center"/>
          </w:tcPr>
          <w:p>
            <w:pPr>
              <w:pStyle w:val="18"/>
              <w:spacing w:line="400" w:lineRule="exact"/>
              <w:ind w:firstLine="0" w:firstLineChars="0"/>
              <w:jc w:val="center"/>
              <w:rPr>
                <w:rFonts w:eastAsia="宋体" w:cs="宋体"/>
                <w:sz w:val="18"/>
                <w:szCs w:val="18"/>
              </w:rPr>
            </w:pPr>
            <w:r>
              <w:rPr>
                <w:rFonts w:hint="eastAsia" w:eastAsia="宋体" w:cs="宋体"/>
                <w:color w:val="000000"/>
                <w:kern w:val="0"/>
                <w:sz w:val="18"/>
                <w:szCs w:val="18"/>
              </w:rPr>
              <w:t>澄清度</w:t>
            </w:r>
          </w:p>
        </w:tc>
        <w:tc>
          <w:tcPr>
            <w:tcW w:w="4394" w:type="dxa"/>
            <w:vAlign w:val="center"/>
          </w:tcPr>
          <w:p>
            <w:pPr>
              <w:pStyle w:val="18"/>
              <w:spacing w:line="400" w:lineRule="exact"/>
              <w:ind w:firstLine="90" w:firstLineChars="50"/>
              <w:jc w:val="left"/>
              <w:rPr>
                <w:rFonts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eastAsia="宋体" w:cs="宋体"/>
                <w:color w:val="000000"/>
                <w:kern w:val="0"/>
                <w:sz w:val="18"/>
                <w:szCs w:val="18"/>
              </w:rPr>
              <w:t>澄清透明，无悬浮物，</w:t>
            </w:r>
            <w:r>
              <w:rPr>
                <w:rFonts w:hint="eastAsia"/>
                <w:sz w:val="18"/>
                <w:szCs w:val="18"/>
              </w:rPr>
              <w:t>久置后允许有微量沉淀</w:t>
            </w:r>
          </w:p>
        </w:tc>
        <w:tc>
          <w:tcPr>
            <w:tcW w:w="2771" w:type="dxa"/>
            <w:vMerge w:val="restart"/>
            <w:vAlign w:val="center"/>
          </w:tcPr>
          <w:p>
            <w:pPr>
              <w:pStyle w:val="18"/>
              <w:spacing w:line="400" w:lineRule="exact"/>
              <w:ind w:firstLine="0" w:firstLineChars="0"/>
              <w:jc w:val="center"/>
              <w:rPr>
                <w:rFonts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宋体"/>
                <w:kern w:val="0"/>
                <w:sz w:val="18"/>
                <w:szCs w:val="21"/>
              </w:rPr>
              <w:t>GB/T 10345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  泽</w:t>
            </w:r>
          </w:p>
        </w:tc>
        <w:tc>
          <w:tcPr>
            <w:tcW w:w="4394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具有本品应有的色泽</w:t>
            </w:r>
          </w:p>
        </w:tc>
        <w:tc>
          <w:tcPr>
            <w:tcW w:w="2771" w:type="dxa"/>
            <w:vMerge w:val="continue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  格</w:t>
            </w:r>
          </w:p>
        </w:tc>
        <w:tc>
          <w:tcPr>
            <w:tcW w:w="4394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具有本品的独特风格</w:t>
            </w:r>
          </w:p>
        </w:tc>
        <w:tc>
          <w:tcPr>
            <w:tcW w:w="2771" w:type="dxa"/>
            <w:vMerge w:val="continue"/>
          </w:tcPr>
          <w:p>
            <w:pPr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气  味</w:t>
            </w:r>
          </w:p>
        </w:tc>
        <w:tc>
          <w:tcPr>
            <w:tcW w:w="4394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具有相应的动植物香和酒香，诸香和谐纯正 </w:t>
            </w:r>
          </w:p>
        </w:tc>
        <w:tc>
          <w:tcPr>
            <w:tcW w:w="2771" w:type="dxa"/>
            <w:vMerge w:val="continue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90" w:type="dxa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滋  味</w:t>
            </w:r>
          </w:p>
        </w:tc>
        <w:tc>
          <w:tcPr>
            <w:tcW w:w="4394" w:type="dxa"/>
          </w:tcPr>
          <w:p>
            <w:pPr>
              <w:spacing w:line="400" w:lineRule="exact"/>
              <w:ind w:firstLine="90" w:firstLineChars="5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18"/>
                <w:szCs w:val="18"/>
              </w:rPr>
              <w:t>醇和，舒顺谐调，酒体完整</w:t>
            </w:r>
          </w:p>
        </w:tc>
        <w:tc>
          <w:tcPr>
            <w:tcW w:w="2771" w:type="dxa"/>
            <w:vMerge w:val="continue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>4.3  理化指标</w:t>
      </w:r>
    </w:p>
    <w:p>
      <w:pPr>
        <w:pStyle w:val="48"/>
        <w:tabs>
          <w:tab w:val="left" w:pos="426"/>
        </w:tabs>
        <w:ind w:firstLine="420"/>
        <w:jc w:val="left"/>
        <w:rPr>
          <w:rFonts w:hAnsi="宋体"/>
          <w:szCs w:val="21"/>
        </w:rPr>
      </w:pPr>
      <w:r>
        <w:rPr>
          <w:rFonts w:hint="eastAsia" w:hAnsi="宋体"/>
          <w:szCs w:val="21"/>
        </w:rPr>
        <w:t>应符合表2的规定。</w:t>
      </w:r>
    </w:p>
    <w:p>
      <w:pPr>
        <w:pStyle w:val="48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2</w:t>
      </w:r>
    </w:p>
    <w:tbl>
      <w:tblPr>
        <w:tblStyle w:val="29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3921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指  标</w:t>
            </w:r>
          </w:p>
        </w:tc>
        <w:tc>
          <w:tcPr>
            <w:tcW w:w="231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酒精度</w:t>
            </w: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23-60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≤0.2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pStyle w:val="63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甲醇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/>
                <w:sz w:val="18"/>
                <w:szCs w:val="18"/>
              </w:rPr>
              <w:t xml:space="preserve"> 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>
            <w:pPr>
              <w:pStyle w:val="63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≤0.6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981" w:type="dxa"/>
            <w:vAlign w:val="center"/>
          </w:tcPr>
          <w:p>
            <w:pPr>
              <w:pStyle w:val="63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氰化物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（以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HCN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计）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>
            <w:pPr>
              <w:pStyle w:val="63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≤7.5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14" w:type="dxa"/>
            <w:gridSpan w:val="3"/>
          </w:tcPr>
          <w:p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</w:t>
            </w: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/>
                <w:sz w:val="18"/>
                <w:szCs w:val="18"/>
              </w:rPr>
              <w:t>酒精度标签标示值与实测值允许误差为±2.0（20℃）/ % vol；</w:t>
            </w:r>
          </w:p>
          <w:p>
            <w:pPr>
              <w:spacing w:line="36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/>
                <w:sz w:val="18"/>
                <w:szCs w:val="18"/>
              </w:rPr>
              <w:t>甲醇、氰化物指标均按100%酒精度折算</w:t>
            </w:r>
          </w:p>
        </w:tc>
      </w:tr>
    </w:tbl>
    <w:p>
      <w:pPr>
        <w:pStyle w:val="63"/>
        <w:spacing w:beforeLines="50" w:afterLines="50"/>
        <w:rPr>
          <w:rFonts w:ascii="黑体" w:hAnsi="黑体"/>
          <w:szCs w:val="21"/>
        </w:rPr>
      </w:pPr>
      <w:r>
        <w:rPr>
          <w:rFonts w:hint="eastAsia" w:ascii="黑体" w:hAnsi="黑体"/>
          <w:szCs w:val="21"/>
        </w:rPr>
        <w:t>4.4  净含量</w:t>
      </w:r>
    </w:p>
    <w:p>
      <w:pPr>
        <w:pStyle w:val="48"/>
        <w:ind w:firstLine="420"/>
        <w:rPr>
          <w:rFonts w:hAnsi="宋体"/>
          <w:bCs/>
          <w:szCs w:val="21"/>
        </w:rPr>
      </w:pPr>
      <w:r>
        <w:rPr>
          <w:rFonts w:hint="eastAsia" w:hAnsi="宋体"/>
          <w:bCs/>
          <w:szCs w:val="21"/>
        </w:rPr>
        <w:t>应符合《</w:t>
      </w:r>
      <w:r>
        <w:rPr>
          <w:rFonts w:hint="eastAsia" w:hAnsi="宋体"/>
          <w:szCs w:val="21"/>
        </w:rPr>
        <w:t>定量包装商品计量监督管理办法》的规定</w:t>
      </w:r>
      <w:r>
        <w:rPr>
          <w:rFonts w:hAnsi="宋体"/>
          <w:bCs/>
          <w:szCs w:val="21"/>
        </w:rPr>
        <w:t>。</w:t>
      </w:r>
      <w:r>
        <w:rPr>
          <w:rFonts w:hint="eastAsia" w:hAnsi="宋体" w:cs="宋体"/>
          <w:szCs w:val="21"/>
        </w:rPr>
        <w:t>检验按JJF 1070的规定进行</w:t>
      </w:r>
      <w:r>
        <w:rPr>
          <w:rFonts w:hint="eastAsia" w:hAnsi="宋体"/>
          <w:bCs/>
          <w:szCs w:val="21"/>
        </w:rPr>
        <w:t>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4.5  食品添加剂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应符合GB 2760的规定。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4.6  生产加工过程卫生要求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应符合GB 14881的规定。</w:t>
      </w:r>
    </w:p>
    <w:p>
      <w:pPr>
        <w:spacing w:beforeLines="100" w:afterLines="1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   检验规则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5.1  组批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5.2  抽样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从每批产品的不同部位随机抽取6瓶，3瓶做感官、理化、卫生指标检验，3瓶留样作备检样品。净含量按JJF 1070的要求进行抽样。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  检验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5.3.1  出厂检验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hint="eastAsia" w:ascii="宋体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5.3.2  型式检验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型式检验为本标准中4.2～4.5项中规定的项目，每半年进行一次，有下情况之一时亦应进行型式检验：</w:t>
      </w:r>
    </w:p>
    <w:p>
      <w:pPr>
        <w:ind w:firstLine="420" w:firstLineChars="200"/>
        <w:rPr>
          <w:rFonts w:ascii="宋体" w:hAnsi="宋体" w:cs="宋体"/>
          <w:szCs w:val="21"/>
        </w:rPr>
      </w:pPr>
      <w:bookmarkStart w:id="4" w:name="OLE_LINK1"/>
      <w:r>
        <w:rPr>
          <w:rFonts w:hint="eastAsia" w:ascii="宋体" w:hAnsi="宋体" w:cs="宋体"/>
          <w:szCs w:val="21"/>
        </w:rPr>
        <w:t>a、</w:t>
      </w:r>
      <w:r>
        <w:rPr>
          <w:rFonts w:hint="eastAsia" w:ascii="宋体" w:hAnsi="宋体" w:cs="宋体"/>
          <w:bCs/>
          <w:szCs w:val="21"/>
        </w:rPr>
        <w:t>原料产地或生产工艺设备有较大改变，可能影响产品质量时；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b、连续停产三月以上恢复生产时；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c、出厂检验结果与上次型式检验结果有较大差异时;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d、</w:t>
      </w:r>
      <w:r>
        <w:rPr>
          <w:rFonts w:hint="eastAsia" w:ascii="宋体" w:hAnsi="宋体" w:cs="宋体"/>
          <w:snapToGrid w:val="0"/>
          <w:color w:val="000000"/>
          <w:szCs w:val="21"/>
        </w:rPr>
        <w:t>国家市场监督管理部门</w:t>
      </w:r>
      <w:r>
        <w:rPr>
          <w:rFonts w:hint="eastAsia" w:ascii="宋体" w:hAnsi="宋体" w:cs="宋体"/>
          <w:szCs w:val="21"/>
        </w:rPr>
        <w:t>提出型式检验要求时。</w:t>
      </w:r>
    </w:p>
    <w:bookmarkEnd w:id="4"/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  判定规则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5.4.1  出厂检验判定规则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5.4.2  型式检验判定规则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>
      <w:pPr>
        <w:spacing w:beforeLines="100" w:afterLines="1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6  标志、标签、包装、运输、贮存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6.1  标志、标签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产品包装应有明显标志，食品标签应符合GB 7718和GB 2757 第四章的规定。产品包装运输图示应符合GB/T 191的规定。并按相关规定标注“</w:t>
      </w:r>
      <w:r>
        <w:rPr>
          <w:rFonts w:ascii="宋体" w:hAnsi="宋体" w:cs="宋体"/>
          <w:color w:val="000000"/>
          <w:szCs w:val="21"/>
          <w:shd w:val="clear" w:color="auto" w:fill="FFFFFF"/>
        </w:rPr>
        <w:t>婴幼儿、少年儿童、孕产妇、</w:t>
      </w:r>
      <w:r>
        <w:rPr>
          <w:rFonts w:hint="eastAsia" w:ascii="宋体" w:hAnsi="宋体" w:cs="宋体"/>
          <w:kern w:val="0"/>
          <w:szCs w:val="21"/>
        </w:rPr>
        <w:t>哺乳期妇女不宜食用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 w:cs="宋体"/>
          <w:kern w:val="0"/>
          <w:szCs w:val="21"/>
        </w:rPr>
        <w:t>、“过量饮酒有害健康”等警示标识。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6.2  包装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6.3  运输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6.4  贮存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>
      <w:pPr>
        <w:ind w:firstLine="420" w:firstLineChars="200"/>
        <w:rPr>
          <w:szCs w:val="21"/>
        </w:rPr>
      </w:pPr>
      <w:r>
        <w:rPr>
          <w:szCs w:val="21"/>
        </w:rPr>
        <w:pict>
          <v:shape id="AutoShape 13" o:spid="_x0000_s1033" o:spt="32" type="#_x0000_t32" style="position:absolute;left:0pt;margin-left:167pt;margin-top:29.45pt;height:0pt;width:124.45pt;z-index:251662336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>
            <v:path arrowok="t"/>
            <v:fill on="f" focussize="0,0"/>
            <v:stroke weight="1pt"/>
            <v:imagedata o:title=""/>
            <o:lock v:ext="edit"/>
          </v:shape>
        </w:pict>
      </w:r>
    </w:p>
    <w:sectPr>
      <w:footerReference r:id="rId6" w:type="default"/>
      <w:endnotePr>
        <w:numFmt w:val="decimal"/>
      </w:endnotePr>
      <w:pgSz w:w="11907" w:h="16839"/>
      <w:pgMar w:top="1418" w:right="1418" w:bottom="1418" w:left="1418" w:header="850" w:footer="85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right" w:y="1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3</w:t>
    </w:r>
    <w:r>
      <w:fldChar w:fldCharType="end"/>
    </w:r>
  </w:p>
  <w:p>
    <w:pPr>
      <w:pStyle w:val="2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6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I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6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rPr>
        <w:rStyle w:val="33"/>
      </w:rPr>
      <w:t>5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  <w:spacing w:after="0"/>
      <w:rPr>
        <w:rFonts w:ascii="黑体" w:hAnsi="黑体" w:eastAsia="黑体"/>
      </w:rPr>
    </w:pPr>
  </w:p>
  <w:p>
    <w:pPr>
      <w:pStyle w:val="97"/>
      <w:spacing w:after="0"/>
      <w:rPr>
        <w:rFonts w:ascii="黑体" w:hAnsi="黑体" w:eastAsia="黑体"/>
      </w:rPr>
    </w:pPr>
  </w:p>
  <w:p>
    <w:pPr>
      <w:pStyle w:val="97"/>
      <w:spacing w:after="0"/>
      <w:rPr>
        <w:rFonts w:ascii="黑体" w:hAnsi="黑体" w:eastAsia="黑体"/>
      </w:rPr>
    </w:pPr>
    <w:r>
      <w:rPr>
        <w:rFonts w:ascii="黑体" w:hAnsi="黑体" w:eastAsia="黑体"/>
      </w:rPr>
      <w:t>Q/GZGJT 0007S-2020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lvl w:ilvl="0" w:tentative="0">
      <w:start w:val="2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8"/>
    <w:multiLevelType w:val="multilevel"/>
    <w:tmpl w:val="00000018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105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宋体" w:hAnsi="宋体" w:eastAsia="宋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1985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530D6361"/>
    <w:multiLevelType w:val="multilevel"/>
    <w:tmpl w:val="530D6361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963"/>
    <w:rsid w:val="000127B4"/>
    <w:rsid w:val="0002631F"/>
    <w:rsid w:val="000277B7"/>
    <w:rsid w:val="00031640"/>
    <w:rsid w:val="00044185"/>
    <w:rsid w:val="00062062"/>
    <w:rsid w:val="00062343"/>
    <w:rsid w:val="00066EBF"/>
    <w:rsid w:val="000822AE"/>
    <w:rsid w:val="00093EBD"/>
    <w:rsid w:val="000961BE"/>
    <w:rsid w:val="000A0CE5"/>
    <w:rsid w:val="000C42F3"/>
    <w:rsid w:val="000C7D5A"/>
    <w:rsid w:val="000F01C7"/>
    <w:rsid w:val="00101841"/>
    <w:rsid w:val="00116AE4"/>
    <w:rsid w:val="001240F4"/>
    <w:rsid w:val="00132F10"/>
    <w:rsid w:val="001349DD"/>
    <w:rsid w:val="001361D6"/>
    <w:rsid w:val="00143251"/>
    <w:rsid w:val="00145F74"/>
    <w:rsid w:val="001517D7"/>
    <w:rsid w:val="0016341B"/>
    <w:rsid w:val="00172A27"/>
    <w:rsid w:val="001738B3"/>
    <w:rsid w:val="001A7E4B"/>
    <w:rsid w:val="001B2E0C"/>
    <w:rsid w:val="001C2344"/>
    <w:rsid w:val="001C4823"/>
    <w:rsid w:val="001D33D6"/>
    <w:rsid w:val="001F034F"/>
    <w:rsid w:val="00207C91"/>
    <w:rsid w:val="00223BB0"/>
    <w:rsid w:val="0022531F"/>
    <w:rsid w:val="00236CFF"/>
    <w:rsid w:val="002517A3"/>
    <w:rsid w:val="00263F19"/>
    <w:rsid w:val="00286759"/>
    <w:rsid w:val="002C0E6B"/>
    <w:rsid w:val="002C1525"/>
    <w:rsid w:val="002C61D5"/>
    <w:rsid w:val="002D0F5D"/>
    <w:rsid w:val="002D173F"/>
    <w:rsid w:val="002D3921"/>
    <w:rsid w:val="002F3765"/>
    <w:rsid w:val="002F4B37"/>
    <w:rsid w:val="00310B3A"/>
    <w:rsid w:val="00320BB4"/>
    <w:rsid w:val="003456ED"/>
    <w:rsid w:val="0037131C"/>
    <w:rsid w:val="00383022"/>
    <w:rsid w:val="00386C84"/>
    <w:rsid w:val="003C0E73"/>
    <w:rsid w:val="003C6456"/>
    <w:rsid w:val="003D28EA"/>
    <w:rsid w:val="003D4945"/>
    <w:rsid w:val="003D5D91"/>
    <w:rsid w:val="003E5847"/>
    <w:rsid w:val="003E629F"/>
    <w:rsid w:val="003F3EDD"/>
    <w:rsid w:val="003F52F0"/>
    <w:rsid w:val="003F7E92"/>
    <w:rsid w:val="00410438"/>
    <w:rsid w:val="00427F2F"/>
    <w:rsid w:val="00430569"/>
    <w:rsid w:val="004323C2"/>
    <w:rsid w:val="00445A1B"/>
    <w:rsid w:val="004A04DC"/>
    <w:rsid w:val="004A43E9"/>
    <w:rsid w:val="004B4E13"/>
    <w:rsid w:val="004E5E2F"/>
    <w:rsid w:val="0051144A"/>
    <w:rsid w:val="00517876"/>
    <w:rsid w:val="00527EBE"/>
    <w:rsid w:val="005340FE"/>
    <w:rsid w:val="00546974"/>
    <w:rsid w:val="00555C8B"/>
    <w:rsid w:val="00555F55"/>
    <w:rsid w:val="00561066"/>
    <w:rsid w:val="005733B3"/>
    <w:rsid w:val="00573743"/>
    <w:rsid w:val="00574DAB"/>
    <w:rsid w:val="005B4A08"/>
    <w:rsid w:val="005B6034"/>
    <w:rsid w:val="005C0638"/>
    <w:rsid w:val="005D2B72"/>
    <w:rsid w:val="00612274"/>
    <w:rsid w:val="00612C58"/>
    <w:rsid w:val="00637ADF"/>
    <w:rsid w:val="00641A80"/>
    <w:rsid w:val="00672119"/>
    <w:rsid w:val="0069268E"/>
    <w:rsid w:val="006969A0"/>
    <w:rsid w:val="006971BD"/>
    <w:rsid w:val="006A239E"/>
    <w:rsid w:val="006C444A"/>
    <w:rsid w:val="006D0446"/>
    <w:rsid w:val="006D1809"/>
    <w:rsid w:val="007027E1"/>
    <w:rsid w:val="007056FA"/>
    <w:rsid w:val="00713C6D"/>
    <w:rsid w:val="00716E74"/>
    <w:rsid w:val="00722572"/>
    <w:rsid w:val="0072483B"/>
    <w:rsid w:val="00726192"/>
    <w:rsid w:val="00726762"/>
    <w:rsid w:val="00732B78"/>
    <w:rsid w:val="00735336"/>
    <w:rsid w:val="007471F7"/>
    <w:rsid w:val="00747531"/>
    <w:rsid w:val="0075510F"/>
    <w:rsid w:val="00757754"/>
    <w:rsid w:val="0075783E"/>
    <w:rsid w:val="00757A31"/>
    <w:rsid w:val="00777069"/>
    <w:rsid w:val="00791000"/>
    <w:rsid w:val="007A0C09"/>
    <w:rsid w:val="007D458D"/>
    <w:rsid w:val="007D6104"/>
    <w:rsid w:val="0080178A"/>
    <w:rsid w:val="00803DE5"/>
    <w:rsid w:val="00811948"/>
    <w:rsid w:val="0082022B"/>
    <w:rsid w:val="008273BB"/>
    <w:rsid w:val="00832BCD"/>
    <w:rsid w:val="0084177D"/>
    <w:rsid w:val="00847E4D"/>
    <w:rsid w:val="008537AF"/>
    <w:rsid w:val="008868C7"/>
    <w:rsid w:val="008909EC"/>
    <w:rsid w:val="008B2542"/>
    <w:rsid w:val="008B2D29"/>
    <w:rsid w:val="008C349A"/>
    <w:rsid w:val="008E2C43"/>
    <w:rsid w:val="008F0CF9"/>
    <w:rsid w:val="0090072A"/>
    <w:rsid w:val="00901E6C"/>
    <w:rsid w:val="009059A0"/>
    <w:rsid w:val="00923CCD"/>
    <w:rsid w:val="0092780C"/>
    <w:rsid w:val="009303A3"/>
    <w:rsid w:val="00931AE7"/>
    <w:rsid w:val="009362D3"/>
    <w:rsid w:val="00957F95"/>
    <w:rsid w:val="00965EF5"/>
    <w:rsid w:val="009952C9"/>
    <w:rsid w:val="009A394D"/>
    <w:rsid w:val="009B19C5"/>
    <w:rsid w:val="009B7FEF"/>
    <w:rsid w:val="009C1AD2"/>
    <w:rsid w:val="009C3611"/>
    <w:rsid w:val="009C3FB5"/>
    <w:rsid w:val="009D380E"/>
    <w:rsid w:val="009E7DFC"/>
    <w:rsid w:val="00A1171C"/>
    <w:rsid w:val="00A206D7"/>
    <w:rsid w:val="00A21B31"/>
    <w:rsid w:val="00A22934"/>
    <w:rsid w:val="00A24D12"/>
    <w:rsid w:val="00A27252"/>
    <w:rsid w:val="00A4354D"/>
    <w:rsid w:val="00A46D17"/>
    <w:rsid w:val="00A474AE"/>
    <w:rsid w:val="00A5139B"/>
    <w:rsid w:val="00A61956"/>
    <w:rsid w:val="00A7517F"/>
    <w:rsid w:val="00A90EED"/>
    <w:rsid w:val="00AA26D8"/>
    <w:rsid w:val="00AB0321"/>
    <w:rsid w:val="00AC5678"/>
    <w:rsid w:val="00AC79FE"/>
    <w:rsid w:val="00AD1EC1"/>
    <w:rsid w:val="00AD3A49"/>
    <w:rsid w:val="00AE7F55"/>
    <w:rsid w:val="00AF72B2"/>
    <w:rsid w:val="00B009D6"/>
    <w:rsid w:val="00B01215"/>
    <w:rsid w:val="00B02A49"/>
    <w:rsid w:val="00B03D12"/>
    <w:rsid w:val="00B10A12"/>
    <w:rsid w:val="00B35825"/>
    <w:rsid w:val="00B435F0"/>
    <w:rsid w:val="00B44604"/>
    <w:rsid w:val="00B451AF"/>
    <w:rsid w:val="00B47F08"/>
    <w:rsid w:val="00B570A9"/>
    <w:rsid w:val="00B604E5"/>
    <w:rsid w:val="00B747B3"/>
    <w:rsid w:val="00B7535F"/>
    <w:rsid w:val="00B75518"/>
    <w:rsid w:val="00BA184E"/>
    <w:rsid w:val="00BA7D50"/>
    <w:rsid w:val="00BB0607"/>
    <w:rsid w:val="00BB1ACC"/>
    <w:rsid w:val="00BE1832"/>
    <w:rsid w:val="00BF3730"/>
    <w:rsid w:val="00BF520E"/>
    <w:rsid w:val="00BF6380"/>
    <w:rsid w:val="00BF697A"/>
    <w:rsid w:val="00C04186"/>
    <w:rsid w:val="00C4620B"/>
    <w:rsid w:val="00C51052"/>
    <w:rsid w:val="00C61B03"/>
    <w:rsid w:val="00C64F62"/>
    <w:rsid w:val="00C749BE"/>
    <w:rsid w:val="00C77891"/>
    <w:rsid w:val="00C80B4F"/>
    <w:rsid w:val="00CA13B2"/>
    <w:rsid w:val="00CA21F2"/>
    <w:rsid w:val="00CB107B"/>
    <w:rsid w:val="00CB3B91"/>
    <w:rsid w:val="00CB407D"/>
    <w:rsid w:val="00CB64B8"/>
    <w:rsid w:val="00CE2693"/>
    <w:rsid w:val="00CE68BB"/>
    <w:rsid w:val="00D1141F"/>
    <w:rsid w:val="00D1669E"/>
    <w:rsid w:val="00D16827"/>
    <w:rsid w:val="00D27C39"/>
    <w:rsid w:val="00D30275"/>
    <w:rsid w:val="00D4339F"/>
    <w:rsid w:val="00D464BA"/>
    <w:rsid w:val="00D51630"/>
    <w:rsid w:val="00D51954"/>
    <w:rsid w:val="00D53195"/>
    <w:rsid w:val="00D564E6"/>
    <w:rsid w:val="00D8474E"/>
    <w:rsid w:val="00D878C1"/>
    <w:rsid w:val="00D879C5"/>
    <w:rsid w:val="00D87FA1"/>
    <w:rsid w:val="00D968C9"/>
    <w:rsid w:val="00DB1829"/>
    <w:rsid w:val="00DC32CC"/>
    <w:rsid w:val="00DD2231"/>
    <w:rsid w:val="00DE3F56"/>
    <w:rsid w:val="00DF54B1"/>
    <w:rsid w:val="00E01001"/>
    <w:rsid w:val="00E03295"/>
    <w:rsid w:val="00E048F7"/>
    <w:rsid w:val="00E141D8"/>
    <w:rsid w:val="00E24D60"/>
    <w:rsid w:val="00E34FC8"/>
    <w:rsid w:val="00E40136"/>
    <w:rsid w:val="00E50479"/>
    <w:rsid w:val="00E7100C"/>
    <w:rsid w:val="00E75C18"/>
    <w:rsid w:val="00E97CD0"/>
    <w:rsid w:val="00EA5B33"/>
    <w:rsid w:val="00EC120A"/>
    <w:rsid w:val="00EC122D"/>
    <w:rsid w:val="00ED3752"/>
    <w:rsid w:val="00EE14EE"/>
    <w:rsid w:val="00EF248D"/>
    <w:rsid w:val="00EF27F7"/>
    <w:rsid w:val="00F02A05"/>
    <w:rsid w:val="00F75A38"/>
    <w:rsid w:val="00F804E4"/>
    <w:rsid w:val="00F823D7"/>
    <w:rsid w:val="00FA3331"/>
    <w:rsid w:val="00FD0FB6"/>
    <w:rsid w:val="00FD2462"/>
    <w:rsid w:val="00FE232E"/>
    <w:rsid w:val="00FF1F61"/>
    <w:rsid w:val="030066EE"/>
    <w:rsid w:val="0C7D6DAB"/>
    <w:rsid w:val="0D82726E"/>
    <w:rsid w:val="167F4DA3"/>
    <w:rsid w:val="1AB2549B"/>
    <w:rsid w:val="21244386"/>
    <w:rsid w:val="252B64C1"/>
    <w:rsid w:val="26542164"/>
    <w:rsid w:val="28296937"/>
    <w:rsid w:val="2CAB6D09"/>
    <w:rsid w:val="34D85DE6"/>
    <w:rsid w:val="38687703"/>
    <w:rsid w:val="4DBC71D4"/>
    <w:rsid w:val="509C4218"/>
    <w:rsid w:val="55D403CE"/>
    <w:rsid w:val="575E045C"/>
    <w:rsid w:val="599A0858"/>
    <w:rsid w:val="5C83210D"/>
    <w:rsid w:val="5D3509BB"/>
    <w:rsid w:val="5D6A1334"/>
    <w:rsid w:val="65695BE5"/>
    <w:rsid w:val="66420652"/>
    <w:rsid w:val="717C58A8"/>
    <w:rsid w:val="754F4F73"/>
    <w:rsid w:val="7A174ECC"/>
    <w:rsid w:val="7E8933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800008"/>
    </o:shapedefaults>
    <o:shapelayout v:ext="edit">
      <o:idmap v:ext="edit" data="1"/>
      <o:rules v:ext="edit">
        <o:r id="V:Rule1" type="connector" idref="#AutoShape 13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31">
    <w:name w:val="Default Paragraph Font"/>
    <w:semiHidden/>
    <w:unhideWhenUsed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qFormat/>
    <w:uiPriority w:val="0"/>
  </w:style>
  <w:style w:type="paragraph" w:styleId="12">
    <w:name w:val="toc 6"/>
    <w:basedOn w:val="13"/>
    <w:next w:val="1"/>
    <w:qFormat/>
    <w:uiPriority w:val="0"/>
  </w:style>
  <w:style w:type="paragraph" w:styleId="13">
    <w:name w:val="toc 5"/>
    <w:basedOn w:val="14"/>
    <w:next w:val="1"/>
    <w:qFormat/>
    <w:uiPriority w:val="0"/>
  </w:style>
  <w:style w:type="paragraph" w:styleId="14">
    <w:name w:val="toc 4"/>
    <w:basedOn w:val="15"/>
    <w:next w:val="1"/>
    <w:qFormat/>
    <w:uiPriority w:val="0"/>
  </w:style>
  <w:style w:type="paragraph" w:styleId="15">
    <w:name w:val="toc 3"/>
    <w:basedOn w:val="16"/>
    <w:next w:val="1"/>
    <w:qFormat/>
    <w:uiPriority w:val="0"/>
  </w:style>
  <w:style w:type="paragraph" w:styleId="16">
    <w:name w:val="toc 2"/>
    <w:basedOn w:val="17"/>
    <w:next w:val="1"/>
    <w:qFormat/>
    <w:uiPriority w:val="0"/>
  </w:style>
  <w:style w:type="paragraph" w:styleId="17">
    <w:name w:val="toc 1"/>
    <w:next w:val="1"/>
    <w:qFormat/>
    <w:uiPriority w:val="0"/>
    <w:p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8">
    <w:name w:val="Body Text Indent"/>
    <w:basedOn w:val="1"/>
    <w:link w:val="49"/>
    <w:qFormat/>
    <w:uiPriority w:val="0"/>
    <w:pPr>
      <w:ind w:firstLine="284" w:firstLineChars="151"/>
    </w:pPr>
    <w:rPr>
      <w:rFonts w:ascii="宋体" w:hAnsi="宋体" w:eastAsia="Times New Roman"/>
    </w:rPr>
  </w:style>
  <w:style w:type="paragraph" w:styleId="19">
    <w:name w:val="HTML Address"/>
    <w:basedOn w:val="1"/>
    <w:qFormat/>
    <w:uiPriority w:val="0"/>
    <w:rPr>
      <w:i/>
      <w:iCs/>
    </w:rPr>
  </w:style>
  <w:style w:type="paragraph" w:styleId="20">
    <w:name w:val="toc 8"/>
    <w:basedOn w:val="11"/>
    <w:next w:val="1"/>
    <w:qFormat/>
    <w:uiPriority w:val="0"/>
  </w:style>
  <w:style w:type="paragraph" w:styleId="21">
    <w:name w:val="Date"/>
    <w:basedOn w:val="1"/>
    <w:next w:val="1"/>
    <w:qFormat/>
    <w:uiPriority w:val="0"/>
    <w:pPr>
      <w:ind w:left="100" w:leftChars="2500"/>
    </w:pPr>
  </w:style>
  <w:style w:type="paragraph" w:styleId="22">
    <w:name w:val="Balloon Text"/>
    <w:basedOn w:val="1"/>
    <w:qFormat/>
    <w:uiPriority w:val="0"/>
    <w:rPr>
      <w:sz w:val="18"/>
      <w:szCs w:val="18"/>
    </w:rPr>
  </w:style>
  <w:style w:type="paragraph" w:styleId="2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26">
    <w:name w:val="toc 9"/>
    <w:basedOn w:val="20"/>
    <w:next w:val="1"/>
    <w:qFormat/>
    <w:uiPriority w:val="0"/>
  </w:style>
  <w:style w:type="paragraph" w:styleId="27">
    <w:name w:val="HTML Preformatted"/>
    <w:basedOn w:val="1"/>
    <w:qFormat/>
    <w:uiPriority w:val="0"/>
    <w:rPr>
      <w:rFonts w:ascii="Courier New" w:hAnsi="Courier New" w:cs="Courier New"/>
      <w:sz w:val="20"/>
      <w:szCs w:val="20"/>
    </w:rPr>
  </w:style>
  <w:style w:type="paragraph" w:styleId="28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30">
    <w:name w:val="Table Grid"/>
    <w:basedOn w:val="29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Strong"/>
    <w:basedOn w:val="31"/>
    <w:qFormat/>
    <w:uiPriority w:val="0"/>
    <w:rPr>
      <w:b/>
      <w:bCs/>
    </w:rPr>
  </w:style>
  <w:style w:type="character" w:styleId="33">
    <w:name w:val="page number"/>
    <w:basedOn w:val="31"/>
    <w:qFormat/>
    <w:uiPriority w:val="0"/>
    <w:rPr>
      <w:rFonts w:ascii="Times New Roman" w:hAnsi="Times New Roman" w:eastAsia="宋体"/>
      <w:sz w:val="18"/>
    </w:rPr>
  </w:style>
  <w:style w:type="character" w:styleId="34">
    <w:name w:val="Emphasis"/>
    <w:basedOn w:val="31"/>
    <w:qFormat/>
    <w:uiPriority w:val="0"/>
    <w:rPr>
      <w:color w:val="CC0000"/>
    </w:rPr>
  </w:style>
  <w:style w:type="character" w:styleId="35">
    <w:name w:val="HTML Definition"/>
    <w:basedOn w:val="31"/>
    <w:qFormat/>
    <w:uiPriority w:val="0"/>
    <w:rPr>
      <w:i/>
      <w:iCs/>
    </w:rPr>
  </w:style>
  <w:style w:type="character" w:styleId="36">
    <w:name w:val="HTML Typewriter"/>
    <w:basedOn w:val="31"/>
    <w:qFormat/>
    <w:uiPriority w:val="0"/>
    <w:rPr>
      <w:rFonts w:ascii="Courier New" w:hAnsi="Courier New"/>
      <w:sz w:val="20"/>
      <w:szCs w:val="20"/>
    </w:rPr>
  </w:style>
  <w:style w:type="character" w:styleId="37">
    <w:name w:val="HTML Acronym"/>
    <w:basedOn w:val="31"/>
    <w:qFormat/>
    <w:uiPriority w:val="0"/>
  </w:style>
  <w:style w:type="character" w:styleId="38">
    <w:name w:val="HTML Variable"/>
    <w:basedOn w:val="31"/>
    <w:qFormat/>
    <w:uiPriority w:val="0"/>
    <w:rPr>
      <w:i/>
      <w:iCs/>
    </w:rPr>
  </w:style>
  <w:style w:type="character" w:styleId="39">
    <w:name w:val="Hyperlink"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40">
    <w:name w:val="HTML Code"/>
    <w:basedOn w:val="31"/>
    <w:qFormat/>
    <w:uiPriority w:val="0"/>
    <w:rPr>
      <w:rFonts w:ascii="Courier New" w:hAnsi="Courier New"/>
      <w:sz w:val="20"/>
      <w:szCs w:val="20"/>
    </w:rPr>
  </w:style>
  <w:style w:type="character" w:styleId="41">
    <w:name w:val="HTML Cite"/>
    <w:basedOn w:val="31"/>
    <w:qFormat/>
    <w:uiPriority w:val="0"/>
    <w:rPr>
      <w:i/>
      <w:iCs/>
    </w:rPr>
  </w:style>
  <w:style w:type="character" w:styleId="42">
    <w:name w:val="footnote reference"/>
    <w:basedOn w:val="31"/>
    <w:qFormat/>
    <w:uiPriority w:val="0"/>
    <w:rPr>
      <w:vertAlign w:val="superscript"/>
    </w:rPr>
  </w:style>
  <w:style w:type="character" w:styleId="43">
    <w:name w:val="HTML Keyboard"/>
    <w:basedOn w:val="31"/>
    <w:qFormat/>
    <w:uiPriority w:val="0"/>
    <w:rPr>
      <w:rFonts w:ascii="Courier New" w:hAnsi="Courier New"/>
      <w:sz w:val="20"/>
      <w:szCs w:val="20"/>
    </w:rPr>
  </w:style>
  <w:style w:type="character" w:styleId="44">
    <w:name w:val="HTML Sample"/>
    <w:basedOn w:val="31"/>
    <w:qFormat/>
    <w:uiPriority w:val="0"/>
    <w:rPr>
      <w:rFonts w:ascii="Courier New" w:hAnsi="Courier New"/>
    </w:rPr>
  </w:style>
  <w:style w:type="character" w:customStyle="1" w:styleId="45">
    <w:name w:val="段 Char"/>
    <w:basedOn w:val="31"/>
    <w:qFormat/>
    <w:uiPriority w:val="0"/>
    <w:rPr>
      <w:rFonts w:ascii="宋体"/>
      <w:sz w:val="21"/>
      <w:lang w:val="en-US" w:eastAsia="zh-CN" w:bidi="ar-SA"/>
    </w:rPr>
  </w:style>
  <w:style w:type="character" w:customStyle="1" w:styleId="46">
    <w:name w:val="个人答复风格"/>
    <w:basedOn w:val="31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47">
    <w:name w:val="段 Char Char"/>
    <w:basedOn w:val="31"/>
    <w:link w:val="48"/>
    <w:qFormat/>
    <w:uiPriority w:val="0"/>
    <w:rPr>
      <w:rFonts w:ascii="宋体"/>
      <w:sz w:val="21"/>
      <w:lang w:val="en-US" w:eastAsia="zh-CN" w:bidi="ar-SA"/>
    </w:rPr>
  </w:style>
  <w:style w:type="paragraph" w:customStyle="1" w:styleId="48">
    <w:name w:val="段"/>
    <w:link w:val="47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49">
    <w:name w:val="正文文本缩进 Char"/>
    <w:basedOn w:val="31"/>
    <w:link w:val="18"/>
    <w:qFormat/>
    <w:uiPriority w:val="0"/>
    <w:rPr>
      <w:rFonts w:ascii="宋体" w:hAnsi="宋体"/>
      <w:kern w:val="2"/>
      <w:sz w:val="21"/>
      <w:szCs w:val="24"/>
      <w:lang w:bidi="ar-SA"/>
    </w:rPr>
  </w:style>
  <w:style w:type="character" w:customStyle="1" w:styleId="50">
    <w:name w:val="个人撰写风格"/>
    <w:basedOn w:val="31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51">
    <w:name w:val="发布"/>
    <w:basedOn w:val="31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52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53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4">
    <w:name w:val="附录四级条标题"/>
    <w:basedOn w:val="55"/>
    <w:next w:val="48"/>
    <w:qFormat/>
    <w:uiPriority w:val="0"/>
    <w:pPr>
      <w:tabs>
        <w:tab w:val="left" w:pos="840"/>
      </w:tabs>
      <w:outlineLvl w:val="5"/>
    </w:pPr>
  </w:style>
  <w:style w:type="paragraph" w:customStyle="1" w:styleId="55">
    <w:name w:val="附录三级条标题"/>
    <w:basedOn w:val="56"/>
    <w:next w:val="48"/>
    <w:qFormat/>
    <w:uiPriority w:val="0"/>
    <w:pPr>
      <w:tabs>
        <w:tab w:val="left" w:pos="840"/>
      </w:tabs>
      <w:outlineLvl w:val="4"/>
    </w:pPr>
  </w:style>
  <w:style w:type="paragraph" w:customStyle="1" w:styleId="56">
    <w:name w:val="附录二级条标题"/>
    <w:basedOn w:val="57"/>
    <w:next w:val="48"/>
    <w:qFormat/>
    <w:uiPriority w:val="0"/>
    <w:pPr>
      <w:tabs>
        <w:tab w:val="left" w:pos="840"/>
      </w:tabs>
      <w:outlineLvl w:val="3"/>
    </w:pPr>
  </w:style>
  <w:style w:type="paragraph" w:customStyle="1" w:styleId="57">
    <w:name w:val="附录一级条标题"/>
    <w:basedOn w:val="58"/>
    <w:next w:val="48"/>
    <w:qFormat/>
    <w:uiPriority w:val="0"/>
    <w:pPr>
      <w:tabs>
        <w:tab w:val="left" w:pos="840"/>
      </w:tabs>
      <w:autoSpaceDN w:val="0"/>
      <w:spacing w:beforeLines="0" w:afterLines="0"/>
      <w:outlineLvl w:val="2"/>
    </w:pPr>
  </w:style>
  <w:style w:type="paragraph" w:customStyle="1" w:styleId="58">
    <w:name w:val="附录章标题"/>
    <w:next w:val="48"/>
    <w:qFormat/>
    <w:uiPriority w:val="0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9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0">
    <w:name w:val="正文表标题"/>
    <w:next w:val="48"/>
    <w:qFormat/>
    <w:uiPriority w:val="0"/>
    <w:pPr>
      <w:tabs>
        <w:tab w:val="left" w:pos="900"/>
      </w:tabs>
      <w:ind w:left="900" w:hanging="50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1">
    <w:name w:val="发布部门"/>
    <w:next w:val="48"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62">
    <w:name w:val="二级条标题"/>
    <w:basedOn w:val="63"/>
    <w:next w:val="48"/>
    <w:qFormat/>
    <w:uiPriority w:val="0"/>
    <w:pPr>
      <w:tabs>
        <w:tab w:val="left" w:pos="1680"/>
      </w:tabs>
      <w:ind w:left="1680" w:hanging="420"/>
      <w:outlineLvl w:val="3"/>
    </w:pPr>
  </w:style>
  <w:style w:type="paragraph" w:customStyle="1" w:styleId="63">
    <w:name w:val="一级条标题"/>
    <w:next w:val="48"/>
    <w:qFormat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64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65">
    <w:name w:val="注×："/>
    <w:qFormat/>
    <w:uiPriority w:val="0"/>
    <w:pPr>
      <w:widowControl w:val="0"/>
      <w:tabs>
        <w:tab w:val="left" w:pos="63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66">
    <w:name w:val="参考文献、索引标题"/>
    <w:basedOn w:val="52"/>
    <w:next w:val="1"/>
    <w:qFormat/>
    <w:uiPriority w:val="0"/>
    <w:pPr>
      <w:spacing w:after="200"/>
    </w:pPr>
    <w:rPr>
      <w:sz w:val="21"/>
    </w:rPr>
  </w:style>
  <w:style w:type="paragraph" w:customStyle="1" w:styleId="67">
    <w:name w:val="五级条标题"/>
    <w:basedOn w:val="68"/>
    <w:next w:val="48"/>
    <w:qFormat/>
    <w:uiPriority w:val="0"/>
    <w:pPr>
      <w:tabs>
        <w:tab w:val="left" w:pos="1680"/>
        <w:tab w:val="left" w:pos="2520"/>
        <w:tab w:val="left" w:pos="3827"/>
      </w:tabs>
      <w:ind w:left="3827" w:hanging="1276"/>
      <w:outlineLvl w:val="6"/>
    </w:pPr>
  </w:style>
  <w:style w:type="paragraph" w:customStyle="1" w:styleId="68">
    <w:name w:val="四级条标题"/>
    <w:basedOn w:val="69"/>
    <w:next w:val="48"/>
    <w:qFormat/>
    <w:uiPriority w:val="0"/>
    <w:pPr>
      <w:tabs>
        <w:tab w:val="left" w:pos="1680"/>
        <w:tab w:val="left" w:pos="2520"/>
      </w:tabs>
      <w:ind w:left="2520" w:hanging="420"/>
      <w:outlineLvl w:val="5"/>
    </w:pPr>
  </w:style>
  <w:style w:type="paragraph" w:customStyle="1" w:styleId="69">
    <w:name w:val="三级条标题"/>
    <w:basedOn w:val="62"/>
    <w:next w:val="48"/>
    <w:qFormat/>
    <w:uiPriority w:val="0"/>
    <w:pPr>
      <w:ind w:left="0" w:firstLine="0"/>
      <w:outlineLvl w:val="4"/>
    </w:pPr>
  </w:style>
  <w:style w:type="paragraph" w:customStyle="1" w:styleId="70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1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72">
    <w:name w:val="封面标准代替信息"/>
    <w:basedOn w:val="73"/>
    <w:qFormat/>
    <w:uiPriority w:val="0"/>
    <w:pPr>
      <w:spacing w:before="57"/>
    </w:pPr>
    <w:rPr>
      <w:rFonts w:ascii="宋体"/>
      <w:sz w:val="21"/>
    </w:rPr>
  </w:style>
  <w:style w:type="paragraph" w:customStyle="1" w:styleId="73">
    <w:name w:val="封面标准号2"/>
    <w:basedOn w:val="70"/>
    <w:qFormat/>
    <w:uiPriority w:val="0"/>
    <w:pPr>
      <w:adjustRightInd w:val="0"/>
      <w:spacing w:before="357" w:line="280" w:lineRule="exact"/>
    </w:pPr>
  </w:style>
  <w:style w:type="paragraph" w:customStyle="1" w:styleId="74">
    <w:name w:val="图表脚注"/>
    <w:next w:val="48"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75">
    <w:name w:val="列项◆（三级）"/>
    <w:qFormat/>
    <w:uiPriority w:val="0"/>
    <w:pPr>
      <w:tabs>
        <w:tab w:val="left" w:pos="960"/>
      </w:tabs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6">
    <w:name w:val="其他发布部门"/>
    <w:basedOn w:val="61"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77">
    <w:name w:val="实施日期"/>
    <w:basedOn w:val="78"/>
    <w:qFormat/>
    <w:uiPriority w:val="0"/>
    <w:pPr>
      <w:jc w:val="right"/>
    </w:pPr>
  </w:style>
  <w:style w:type="paragraph" w:customStyle="1" w:styleId="78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9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0">
    <w:name w:val="编号列项（三级）"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1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82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83">
    <w:name w:val="目次、标准名称标题"/>
    <w:basedOn w:val="52"/>
    <w:next w:val="48"/>
    <w:qFormat/>
    <w:uiPriority w:val="0"/>
    <w:pPr>
      <w:spacing w:line="460" w:lineRule="exact"/>
    </w:pPr>
  </w:style>
  <w:style w:type="paragraph" w:customStyle="1" w:styleId="84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5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86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87">
    <w:name w:val="示例"/>
    <w:next w:val="48"/>
    <w:qFormat/>
    <w:uiPriority w:val="0"/>
    <w:pPr>
      <w:tabs>
        <w:tab w:val="left" w:pos="816"/>
      </w:tabs>
      <w:ind w:left="840"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88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89">
    <w:name w:val="注："/>
    <w:next w:val="48"/>
    <w:qFormat/>
    <w:uiPriority w:val="0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0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1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2">
    <w:name w:val="附录五级条标题"/>
    <w:basedOn w:val="54"/>
    <w:next w:val="48"/>
    <w:qFormat/>
    <w:uiPriority w:val="0"/>
    <w:pPr>
      <w:tabs>
        <w:tab w:val="left" w:pos="2940"/>
      </w:tabs>
      <w:ind w:left="2940"/>
      <w:outlineLvl w:val="6"/>
    </w:pPr>
  </w:style>
  <w:style w:type="paragraph" w:customStyle="1" w:styleId="93">
    <w:name w:val="列项——（一级）"/>
    <w:qFormat/>
    <w:uiPriority w:val="0"/>
    <w:pPr>
      <w:widowControl w:val="0"/>
      <w:tabs>
        <w:tab w:val="left" w:pos="854"/>
      </w:tabs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4">
    <w:name w:val="附录标识"/>
    <w:basedOn w:val="52"/>
    <w:qFormat/>
    <w:uiPriority w:val="0"/>
    <w:pPr>
      <w:tabs>
        <w:tab w:val="left" w:pos="6405"/>
      </w:tabs>
      <w:spacing w:after="200"/>
    </w:pPr>
    <w:rPr>
      <w:sz w:val="21"/>
    </w:rPr>
  </w:style>
  <w:style w:type="paragraph" w:customStyle="1" w:styleId="95">
    <w:name w:val="条文脚注"/>
    <w:basedOn w:val="25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96">
    <w:name w:val="标准书眉_偶数页"/>
    <w:basedOn w:val="97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97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8">
    <w:name w:val="附录表标题"/>
    <w:next w:val="48"/>
    <w:qFormat/>
    <w:uiPriority w:val="0"/>
    <w:pPr>
      <w:tabs>
        <w:tab w:val="left" w:pos="360"/>
      </w:tabs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9">
    <w:name w:val="正文图标题"/>
    <w:next w:val="48"/>
    <w:qFormat/>
    <w:uiPriority w:val="0"/>
    <w:pPr>
      <w:tabs>
        <w:tab w:val="left" w:pos="760"/>
      </w:tabs>
      <w:ind w:left="717" w:hanging="317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0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101">
    <w:name w:val="附录图标题"/>
    <w:next w:val="48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2">
    <w:name w:val="列项●（二级）"/>
    <w:qFormat/>
    <w:uiPriority w:val="0"/>
    <w:p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3">
    <w:name w:val="章标题"/>
    <w:next w:val="48"/>
    <w:qFormat/>
    <w:uiPriority w:val="0"/>
    <w:pPr>
      <w:spacing w:beforeLines="50" w:afterLines="50"/>
      <w:ind w:left="10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4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5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6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styleId="10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35"/>
    <customShpInfo spid="_x0000_s1034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875F1-C235-44B9-BED8-052406ACBA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Company>CNIS</Company>
  <Pages>7</Pages>
  <Words>667</Words>
  <Characters>3805</Characters>
  <Lines>31</Lines>
  <Paragraphs>8</Paragraphs>
  <TotalTime>0</TotalTime>
  <ScaleCrop>false</ScaleCrop>
  <LinksUpToDate>false</LinksUpToDate>
  <CharactersWithSpaces>4464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2020-06-16T03:20:00Z</dcterms:created>
  <dc:creator>微软用户</dc:creator>
  <cp:lastModifiedBy>小裤衩的回忆，像个说书的人</cp:lastModifiedBy>
  <cp:lastPrinted>2019-05-13T00:28:00Z</cp:lastPrinted>
  <dcterms:modified xsi:type="dcterms:W3CDTF">2020-06-23T06:14:03Z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2052-11.1.0.9740</vt:lpwstr>
  </property>
</Properties>
</file>