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Times New Roman" w:hAnsi="Times New Roman"/>
          <w:b/>
          <w:color w:val="000000"/>
          <w:sz w:val="52"/>
          <w:szCs w:val="52"/>
        </w:rPr>
      </w:pPr>
      <w:r>
        <w:rPr>
          <w:rFonts w:ascii="Times New Roman" w:hAnsi="Times New Roman"/>
          <w:sz w:val="30"/>
          <w:szCs w:val="30"/>
          <w:u w:val="single"/>
        </w:rPr>
        <w:pict>
          <v:shape id="_x0000_s1029" o:spid="_x0000_s1029" o:spt="202" type="#_x0000_t202" style="position:absolute;left:0pt;margin-left:311.2pt;margin-top:-33.2pt;height:33pt;width:132.15pt;z-index:251659264;mso-width-relative:page;mso-height-relative:page;" stroked="t" coordsize="21600,21600">
            <v:path/>
            <v:fill focussize="0,0"/>
            <v:stroke weight="1pt" color="#FFFFFF" dashstyle="dash"/>
            <v:imagedata o:title=""/>
            <o:lock v:ext="edit"/>
            <v:textbox style="layout-flow:vertical-ideographic;">
              <w:txbxContent>
                <w:p>
                  <w:pPr>
                    <w:rPr>
                      <w:rFonts w:ascii="Calibri" w:hAnsi="Calibri" w:eastAsia="宋体" w:cs="Times New Roman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/>
          <w:color w:val="000000"/>
          <w:sz w:val="52"/>
          <w:szCs w:val="5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/>
          <w:color w:val="000000"/>
          <w:sz w:val="52"/>
          <w:szCs w:val="52"/>
        </w:rPr>
        <w:instrText xml:space="preserve">ADDIN CNKISM.UserStyle</w:instrText>
      </w:r>
      <w:r>
        <w:rPr>
          <w:rFonts w:ascii="Times New Roman" w:hAnsi="Times New Roman"/>
          <w:color w:val="000000"/>
          <w:sz w:val="52"/>
          <w:szCs w:val="52"/>
        </w:rPr>
        <w:fldChar w:fldCharType="end"/>
      </w:r>
      <w:r>
        <w:rPr>
          <w:rFonts w:ascii="Times New Roman" w:hAnsi="Times New Roman"/>
          <w:color w:val="000000"/>
          <w:sz w:val="52"/>
          <w:szCs w:val="52"/>
        </w:rPr>
        <w:pict>
          <v:shape id="_x0000_s1027" o:spid="_x0000_s1027" o:spt="202" type="#_x0000_t202" style="position:absolute;left:0pt;margin-left:299.2pt;margin-top:-27.8pt;height:33pt;width:132.15pt;z-index:251658240;mso-width-relative:page;mso-height-relative:page;" stroked="t" coordsize="21600,21600">
            <v:path/>
            <v:fill focussize="0,0"/>
            <v:stroke weight="1pt" color="#FFFFFF" dashstyle="dash"/>
            <v:imagedata o:title=""/>
            <o:lock v:ext="edit"/>
            <v:textbox style="layout-flow:vertical-ideographic;">
              <w:txbxContent>
                <w:p>
                  <w:pPr>
                    <w:rPr>
                      <w:rFonts w:ascii="Calibri" w:hAnsi="Calibri" w:eastAsia="宋体" w:cs="Times New Roman"/>
                    </w:rPr>
                  </w:pPr>
                  <w:r>
                    <w:rPr>
                      <w:rFonts w:ascii="Calibri" w:hAnsi="Calibri" w:eastAsia="宋体" w:cs="Times New Roman"/>
                    </w:rPr>
                    <w:drawing>
                      <wp:inline distT="0" distB="0" distL="0" distR="0">
                        <wp:extent cx="1482725" cy="377825"/>
                        <wp:effectExtent l="19050" t="0" r="3175" b="0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2725" cy="3780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ascii="Times New Roman" w:hAnsi="Times New Roman"/>
          <w:color w:val="000000"/>
          <w:sz w:val="52"/>
          <w:szCs w:val="52"/>
        </w:rPr>
        <w:t xml:space="preserve">     </w:t>
      </w:r>
      <w:r>
        <w:rPr>
          <w:rFonts w:ascii="Times New Roman" w:hAnsi="Times New Roman" w:eastAsia="黑体" w:cs="黑体"/>
          <w:b/>
          <w:color w:val="000000"/>
          <w:sz w:val="96"/>
          <w:szCs w:val="96"/>
        </w:rPr>
        <w:t>Q/</w:t>
      </w:r>
      <w:r>
        <w:rPr>
          <w:rFonts w:hint="eastAsia" w:ascii="Times New Roman" w:hAnsi="Times New Roman" w:eastAsia="黑体" w:cs="黑体"/>
          <w:b/>
          <w:color w:val="000000"/>
          <w:sz w:val="96"/>
          <w:szCs w:val="96"/>
        </w:rPr>
        <w:t>DML</w:t>
      </w:r>
    </w:p>
    <w:p>
      <w:pPr>
        <w:pStyle w:val="10"/>
        <w:jc w:val="distribute"/>
        <w:rPr>
          <w:rFonts w:eastAsia="黑体"/>
          <w:color w:val="000000"/>
          <w:sz w:val="52"/>
          <w:szCs w:val="52"/>
        </w:rPr>
      </w:pPr>
      <w:r>
        <w:rPr>
          <w:rFonts w:hint="eastAsia" w:hAnsi="黑体" w:eastAsia="黑体"/>
          <w:color w:val="000000"/>
          <w:sz w:val="52"/>
          <w:szCs w:val="52"/>
        </w:rPr>
        <w:t>贵州省食品安全企业标准</w:t>
      </w:r>
    </w:p>
    <w:p>
      <w:pPr>
        <w:ind w:right="-766"/>
        <w:rPr>
          <w:rFonts w:ascii="Times New Roman" w:hAnsi="Times New Roman"/>
          <w:sz w:val="28"/>
          <w:szCs w:val="28"/>
          <w:u w:val="single"/>
        </w:rPr>
      </w:pPr>
      <w:r>
        <w:rPr>
          <w:rFonts w:hint="eastAsia" w:ascii="Times New Roman" w:hAnsi="Times New Roman"/>
          <w:sz w:val="28"/>
          <w:szCs w:val="28"/>
          <w:u w:val="single"/>
        </w:rPr>
        <w:t xml:space="preserve">                                         Q/DML 0001S—2020</w:t>
      </w: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</w:rPr>
      </w:pPr>
    </w:p>
    <w:p>
      <w:pPr>
        <w:tabs>
          <w:tab w:val="left" w:pos="1603"/>
        </w:tabs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</w:rPr>
        <w:tab/>
      </w:r>
    </w:p>
    <w:p>
      <w:pPr>
        <w:tabs>
          <w:tab w:val="left" w:pos="1603"/>
        </w:tabs>
        <w:jc w:val="left"/>
        <w:rPr>
          <w:rFonts w:ascii="Times New Roman" w:hAnsi="Times New Roman"/>
        </w:rPr>
      </w:pPr>
    </w:p>
    <w:p>
      <w:pPr>
        <w:tabs>
          <w:tab w:val="left" w:pos="1603"/>
        </w:tabs>
        <w:jc w:val="left"/>
        <w:rPr>
          <w:rFonts w:ascii="Times New Roman" w:hAnsi="Times New Roman"/>
        </w:rPr>
      </w:pPr>
    </w:p>
    <w:p>
      <w:pPr>
        <w:tabs>
          <w:tab w:val="left" w:pos="1603"/>
        </w:tabs>
        <w:jc w:val="left"/>
        <w:rPr>
          <w:rFonts w:ascii="Times New Roman" w:hAnsi="Times New Roman"/>
        </w:rPr>
      </w:pPr>
    </w:p>
    <w:p>
      <w:pPr>
        <w:tabs>
          <w:tab w:val="left" w:pos="1603"/>
        </w:tabs>
        <w:jc w:val="left"/>
        <w:rPr>
          <w:rFonts w:ascii="Times New Roman" w:hAnsi="Times New Roman"/>
        </w:rPr>
      </w:pPr>
    </w:p>
    <w:p>
      <w:pPr>
        <w:tabs>
          <w:tab w:val="left" w:pos="1603"/>
        </w:tabs>
        <w:jc w:val="left"/>
        <w:rPr>
          <w:rFonts w:ascii="Times New Roman" w:hAnsi="Times New Roman"/>
        </w:rPr>
      </w:pPr>
    </w:p>
    <w:p>
      <w:pPr>
        <w:tabs>
          <w:tab w:val="left" w:pos="1603"/>
        </w:tabs>
        <w:jc w:val="center"/>
        <w:rPr>
          <w:rFonts w:ascii="Times New Roman" w:hAnsi="Times New Roman"/>
          <w:b/>
          <w:bCs/>
          <w:sz w:val="52"/>
          <w:szCs w:val="52"/>
        </w:rPr>
      </w:pPr>
      <w:r>
        <w:rPr>
          <w:rFonts w:hint="eastAsia" w:ascii="Times New Roman"/>
          <w:b/>
          <w:bCs/>
          <w:sz w:val="52"/>
          <w:szCs w:val="52"/>
        </w:rPr>
        <w:t>大苗岭刺梨酒</w:t>
      </w:r>
    </w:p>
    <w:p>
      <w:pPr>
        <w:jc w:val="center"/>
        <w:rPr>
          <w:rFonts w:ascii="Times New Roman" w:hAnsi="Times New Roman"/>
          <w:sz w:val="36"/>
          <w:szCs w:val="36"/>
        </w:rPr>
      </w:pPr>
      <w:r>
        <w:rPr>
          <w:rFonts w:hint="eastAsia" w:ascii="Times New Roman"/>
          <w:sz w:val="36"/>
          <w:szCs w:val="36"/>
        </w:rPr>
        <w:t>（配制酒）</w:t>
      </w:r>
    </w:p>
    <w:p>
      <w:pPr>
        <w:jc w:val="left"/>
        <w:rPr>
          <w:rFonts w:ascii="Times New Roman" w:hAnsi="Times New Roman"/>
          <w:sz w:val="28"/>
          <w:szCs w:val="28"/>
        </w:rPr>
      </w:pPr>
    </w:p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</w:rPr>
      </w:pPr>
    </w:p>
    <w:p>
      <w:pPr>
        <w:jc w:val="left"/>
        <w:rPr>
          <w:rFonts w:ascii="Times New Roman" w:hAnsi="Times New Roman"/>
          <w:sz w:val="30"/>
          <w:szCs w:val="30"/>
          <w:u w:val="single"/>
        </w:rPr>
      </w:pPr>
    </w:p>
    <w:p>
      <w:pPr>
        <w:jc w:val="left"/>
        <w:rPr>
          <w:rFonts w:ascii="Times New Roman" w:hAnsi="Times New Roman"/>
          <w:sz w:val="30"/>
          <w:szCs w:val="30"/>
          <w:u w:val="single"/>
        </w:rPr>
      </w:pPr>
    </w:p>
    <w:p>
      <w:pPr>
        <w:jc w:val="left"/>
        <w:rPr>
          <w:rFonts w:ascii="Times New Roman" w:hAnsi="Times New Roman"/>
          <w:sz w:val="30"/>
          <w:szCs w:val="30"/>
          <w:u w:val="single"/>
        </w:rPr>
      </w:pPr>
    </w:p>
    <w:p>
      <w:pPr>
        <w:jc w:val="left"/>
        <w:rPr>
          <w:rFonts w:ascii="Times New Roman" w:hAnsi="Times New Roman"/>
          <w:sz w:val="30"/>
          <w:szCs w:val="30"/>
          <w:u w:val="single"/>
        </w:rPr>
      </w:pPr>
    </w:p>
    <w:p>
      <w:pPr>
        <w:jc w:val="left"/>
        <w:rPr>
          <w:rFonts w:ascii="Times New Roman" w:hAnsi="Times New Roman"/>
          <w:sz w:val="30"/>
          <w:szCs w:val="30"/>
          <w:u w:val="single"/>
        </w:rPr>
      </w:pPr>
      <w:r>
        <w:rPr>
          <w:rFonts w:hint="eastAsia" w:ascii="Times New Roman" w:hAnsi="Times New Roman"/>
          <w:sz w:val="30"/>
          <w:szCs w:val="30"/>
          <w:u w:val="single"/>
        </w:rPr>
        <w:t>2020-05-2</w:t>
      </w:r>
      <w:r>
        <w:rPr>
          <w:rFonts w:ascii="Times New Roman" w:hAnsi="Times New Roman"/>
          <w:sz w:val="30"/>
          <w:szCs w:val="30"/>
          <w:u w:val="single"/>
        </w:rPr>
        <w:t>5</w:t>
      </w:r>
      <w:r>
        <w:rPr>
          <w:rFonts w:hint="eastAsia" w:ascii="Times New Roman"/>
          <w:sz w:val="30"/>
          <w:szCs w:val="30"/>
          <w:u w:val="single"/>
        </w:rPr>
        <w:t>发布</w:t>
      </w:r>
      <w:r>
        <w:rPr>
          <w:rFonts w:hint="eastAsia" w:ascii="Times New Roman" w:hAnsi="Times New Roman"/>
          <w:sz w:val="30"/>
          <w:szCs w:val="30"/>
          <w:u w:val="single"/>
        </w:rPr>
        <w:t xml:space="preserve">                             2020-6-15</w:t>
      </w:r>
      <w:r>
        <w:rPr>
          <w:rFonts w:hint="eastAsia" w:ascii="Times New Roman"/>
          <w:sz w:val="30"/>
          <w:szCs w:val="30"/>
          <w:u w:val="single"/>
        </w:rPr>
        <w:t>实施</w:t>
      </w:r>
    </w:p>
    <w:p>
      <w:pPr>
        <w:jc w:val="center"/>
        <w:rPr>
          <w:rFonts w:ascii="Times New Roman" w:hAnsi="Times New Roman"/>
          <w:sz w:val="36"/>
          <w:szCs w:val="36"/>
        </w:rPr>
      </w:pPr>
      <w:r>
        <w:rPr>
          <w:rFonts w:hint="eastAsia" w:ascii="Times New Roman" w:hAnsi="黑体" w:eastAsia="黑体"/>
          <w:sz w:val="44"/>
          <w:szCs w:val="44"/>
        </w:rPr>
        <w:t>贵州大苗岭实业有限公司</w:t>
      </w:r>
      <w:r>
        <w:rPr>
          <w:rFonts w:hint="eastAsia" w:ascii="Times New Roman" w:hAnsi="Times New Roman"/>
          <w:sz w:val="36"/>
          <w:szCs w:val="36"/>
        </w:rPr>
        <w:t xml:space="preserve">  </w:t>
      </w:r>
      <w:r>
        <w:rPr>
          <w:rFonts w:hint="eastAsia" w:ascii="Times New Roman" w:hAnsi="黑体" w:eastAsia="黑体"/>
          <w:sz w:val="28"/>
          <w:szCs w:val="28"/>
        </w:rPr>
        <w:t>发布</w:t>
      </w:r>
    </w:p>
    <w:p>
      <w:pPr>
        <w:widowControl/>
        <w:jc w:val="left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br w:type="page"/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前   言</w:t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本标准依据</w:t>
      </w:r>
      <w:r>
        <w:rPr>
          <w:rFonts w:hint="eastAsia" w:ascii="Times New Roman" w:hAnsi="Times New Roman"/>
          <w:sz w:val="24"/>
        </w:rPr>
        <w:t>GB/T1.1-2009</w:t>
      </w:r>
      <w:r>
        <w:rPr>
          <w:rFonts w:hint="eastAsia" w:ascii="Times New Roman"/>
          <w:sz w:val="24"/>
        </w:rPr>
        <w:t>《标准化工作导则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/>
          <w:sz w:val="24"/>
        </w:rPr>
        <w:t>第</w:t>
      </w:r>
      <w:r>
        <w:rPr>
          <w:rFonts w:hint="eastAsia" w:ascii="Times New Roman" w:hAnsi="Times New Roman"/>
          <w:sz w:val="24"/>
        </w:rPr>
        <w:t>1</w:t>
      </w:r>
      <w:r>
        <w:rPr>
          <w:rFonts w:hint="eastAsia" w:ascii="Times New Roman"/>
          <w:sz w:val="24"/>
        </w:rPr>
        <w:t>部分：标注的结构和编写》制定。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我公司生产的大苗岭刺梨酒（配制酒）是以刺梨果和蒸馏酒为原料，加入适量冰糖，经浸泡（调配）、过滤、罐装等工艺加工而成的刺梨。根据《中华人民共和国标准化法》、《中华人民共和国食品去全法》的规定，特制定本标准作为公司组织生产、检验、贸易、仲裁的依据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  <w:szCs w:val="21"/>
        </w:rPr>
      </w:pPr>
      <w:r>
        <w:rPr>
          <w:rFonts w:hint="eastAsia" w:ascii="Times New Roman"/>
          <w:sz w:val="24"/>
        </w:rPr>
        <w:t>本标准的安全性指标按照</w:t>
      </w:r>
      <w:r>
        <w:rPr>
          <w:rFonts w:hint="eastAsia" w:ascii="Times New Roman" w:hAnsi="Times New Roman"/>
          <w:sz w:val="24"/>
        </w:rPr>
        <w:t>GB 2762-2017</w:t>
      </w:r>
      <w:r>
        <w:rPr>
          <w:rFonts w:hint="eastAsia" w:ascii="Times New Roman"/>
          <w:sz w:val="24"/>
        </w:rPr>
        <w:t>《</w:t>
      </w:r>
      <w:r>
        <w:rPr>
          <w:rFonts w:ascii="Times New Roman"/>
          <w:sz w:val="24"/>
        </w:rPr>
        <w:t>食品安全国家标准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/>
          <w:sz w:val="24"/>
        </w:rPr>
        <w:t>食品中污染物限量</w:t>
      </w:r>
      <w:r>
        <w:rPr>
          <w:rFonts w:hint="eastAsia" w:ascii="Times New Roman"/>
          <w:sz w:val="24"/>
        </w:rPr>
        <w:t>》，GB2757-</w:t>
      </w:r>
      <w:r>
        <w:rPr>
          <w:rFonts w:ascii="Times New Roman"/>
          <w:sz w:val="24"/>
        </w:rPr>
        <w:t>2012</w:t>
      </w:r>
      <w:r>
        <w:rPr>
          <w:rFonts w:hint="eastAsia" w:ascii="Times New Roman"/>
          <w:sz w:val="24"/>
        </w:rPr>
        <w:t>《食品安全国家标准 蒸馏酒及其配制酒》制定。其余指标根据《其他酒生产许可证审查细则（</w:t>
      </w:r>
      <w:r>
        <w:rPr>
          <w:rFonts w:hint="eastAsia" w:ascii="Times New Roman" w:hAnsi="Times New Roman"/>
          <w:sz w:val="24"/>
        </w:rPr>
        <w:t>2006</w:t>
      </w:r>
      <w:r>
        <w:rPr>
          <w:rFonts w:hint="eastAsia" w:ascii="Times New Roman"/>
          <w:sz w:val="24"/>
        </w:rPr>
        <w:t xml:space="preserve">版）》及产品实际制定。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本标准由贵州大苗岭实业有限公司提出。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本标准起草单位：贵州大苗岭实业有限公司、贵州省中国科学院天然产物化学重点实验室。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本标准主要起草人：杨人沣</w:t>
      </w:r>
      <w:r>
        <w:rPr>
          <w:rFonts w:hint="eastAsia" w:ascii="Times New Roman" w:hAnsi="Times New Roman"/>
          <w:sz w:val="24"/>
        </w:rPr>
        <w:t>、</w:t>
      </w:r>
      <w:r>
        <w:rPr>
          <w:rFonts w:hint="eastAsia" w:ascii="Times New Roman"/>
          <w:sz w:val="24"/>
        </w:rPr>
        <w:t>杨武松、李立郎、王瑜。</w:t>
      </w:r>
    </w:p>
    <w:p>
      <w:pPr>
        <w:widowControl/>
        <w:jc w:val="left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br w:type="page"/>
      </w:r>
    </w:p>
    <w:p>
      <w:pPr>
        <w:tabs>
          <w:tab w:val="left" w:pos="898"/>
        </w:tabs>
        <w:spacing w:line="360" w:lineRule="auto"/>
        <w:jc w:val="center"/>
        <w:rPr>
          <w:rFonts w:ascii="Times New Roman"/>
          <w:b/>
          <w:bCs/>
          <w:sz w:val="36"/>
          <w:szCs w:val="36"/>
        </w:rPr>
      </w:pPr>
      <w:r>
        <w:rPr>
          <w:rFonts w:hint="eastAsia" w:ascii="Times New Roman"/>
          <w:b/>
          <w:bCs/>
          <w:sz w:val="36"/>
          <w:szCs w:val="36"/>
        </w:rPr>
        <w:t>大苗岭刺梨酒</w:t>
      </w:r>
    </w:p>
    <w:p>
      <w:pPr>
        <w:tabs>
          <w:tab w:val="left" w:pos="898"/>
        </w:tabs>
        <w:spacing w:line="360" w:lineRule="auto"/>
        <w:jc w:val="center"/>
        <w:rPr>
          <w:rFonts w:ascii="Times New Roman" w:hAnsi="Times New Roman"/>
          <w:sz w:val="30"/>
          <w:szCs w:val="30"/>
        </w:rPr>
      </w:pPr>
      <w:bookmarkStart w:id="0" w:name="_Hlk41867115"/>
      <w:r>
        <w:rPr>
          <w:rFonts w:hint="eastAsia" w:ascii="Times New Roman"/>
          <w:sz w:val="30"/>
          <w:szCs w:val="30"/>
        </w:rPr>
        <w:t>（配制酒）</w:t>
      </w:r>
    </w:p>
    <w:bookmarkEnd w:id="0"/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1</w:t>
      </w:r>
      <w:r>
        <w:rPr>
          <w:rFonts w:hint="eastAsia" w:ascii="Times New Roman"/>
          <w:b/>
          <w:bCs/>
          <w:sz w:val="24"/>
        </w:rPr>
        <w:t>范围</w:t>
      </w:r>
    </w:p>
    <w:p>
      <w:pPr>
        <w:tabs>
          <w:tab w:val="left" w:pos="426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 xml:space="preserve">    </w:t>
      </w:r>
      <w:r>
        <w:rPr>
          <w:rFonts w:hint="eastAsia" w:ascii="Times New Roman"/>
          <w:sz w:val="24"/>
        </w:rPr>
        <w:t>本标准规定了大苗岭刺梨酒（配制酒）的要求、检验方法、检测规则及标签、标志、包装、运输与贮存。</w:t>
      </w:r>
    </w:p>
    <w:p>
      <w:pPr>
        <w:spacing w:line="360" w:lineRule="auto"/>
        <w:ind w:firstLine="328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/>
          <w:sz w:val="24"/>
        </w:rPr>
        <w:t>本标准适用于以刺梨果和蒸馏酒为原料，加入适量冰糖，经浸泡（调配）、过滤、罐装等工艺加工而成的刺梨酒。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2</w:t>
      </w:r>
      <w:r>
        <w:rPr>
          <w:rFonts w:hint="eastAsia" w:ascii="Times New Roman"/>
          <w:b/>
          <w:bCs/>
          <w:sz w:val="24"/>
        </w:rPr>
        <w:t>规范性引用文件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 </w:t>
      </w:r>
      <w:r>
        <w:rPr>
          <w:rFonts w:hint="eastAsia" w:ascii="Times New Roman"/>
          <w:sz w:val="24"/>
        </w:rPr>
        <w:t>下列文件对于本文件的应用是必不可少的，凡是注日期的引用文，仅注日期的版本适用于本文件。凡是不注日期的引用文件，其最新版本</w:t>
      </w:r>
      <w:r>
        <w:rPr>
          <w:rFonts w:ascii="Times New Roman" w:hAnsi="Times New Roman"/>
          <w:sz w:val="24"/>
          <w:szCs w:val="21"/>
        </w:rPr>
        <w:t>（包括所有的修改单）</w:t>
      </w:r>
      <w:r>
        <w:rPr>
          <w:rFonts w:hint="eastAsia" w:ascii="Times New Roman"/>
          <w:sz w:val="24"/>
        </w:rPr>
        <w:t>适用于本文件。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GB/T 191  包装储运图示标志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2757  食品安全国家标准 蒸馏酒及其配制酒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2760  食品安全国家标准 食品添加剂使用标准</w:t>
      </w:r>
    </w:p>
    <w:p>
      <w:pPr>
        <w:tabs>
          <w:tab w:val="left" w:pos="2443"/>
          <w:tab w:val="left" w:pos="5128"/>
        </w:tabs>
        <w:spacing w:line="360" w:lineRule="auto"/>
        <w:jc w:val="left"/>
        <w:rPr>
          <w:rFonts w:asci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GB 2762  </w:t>
      </w:r>
      <w:r>
        <w:rPr>
          <w:rFonts w:hint="eastAsia" w:ascii="Times New Roman"/>
          <w:sz w:val="24"/>
        </w:rPr>
        <w:t>食品安全国家标准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/>
          <w:sz w:val="24"/>
        </w:rPr>
        <w:t>食品中污染物限量</w:t>
      </w:r>
    </w:p>
    <w:p>
      <w:pPr>
        <w:tabs>
          <w:tab w:val="left" w:pos="2443"/>
          <w:tab w:val="left" w:pos="512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GB 2763  食品安全国家标准 食品中农药最大残留限量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5009.12  食品安全国家标准 食品中铅的测定方法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5009.36  食品安全国家标准 食品中氰化物的测定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5009.225 食品安全国家标准 酒中乙醇浓度的测定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5009.266 食品安全国家标准 食品中甲醇的测定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5749  生活饮用水卫生标准</w:t>
      </w:r>
    </w:p>
    <w:p>
      <w:pPr>
        <w:tabs>
          <w:tab w:val="left" w:pos="260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GB/T 6543 </w:t>
      </w:r>
      <w:r>
        <w:rPr>
          <w:rFonts w:hint="eastAsia" w:ascii="Times New Roman"/>
          <w:sz w:val="24"/>
        </w:rPr>
        <w:t>运输包装用瓦楞纸箱和双瓦楞纸箱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7718  食品安全国家标准 预包装食品标签通则</w:t>
      </w:r>
    </w:p>
    <w:p>
      <w:pPr>
        <w:tabs>
          <w:tab w:val="left" w:pos="278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GB 13121 </w:t>
      </w:r>
      <w:r>
        <w:rPr>
          <w:rFonts w:hint="eastAsia" w:ascii="Times New Roman"/>
          <w:sz w:val="24"/>
        </w:rPr>
        <w:t>陶瓷食具溶器卫生标准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14881  食品安全国家标准 食品生产通用卫生规范</w:t>
      </w:r>
    </w:p>
    <w:p>
      <w:pPr>
        <w:tabs>
          <w:tab w:val="left" w:pos="2743"/>
          <w:tab w:val="center" w:pos="4153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GB/T24694 </w:t>
      </w:r>
      <w:r>
        <w:rPr>
          <w:rFonts w:hint="eastAsia" w:ascii="Times New Roman"/>
          <w:sz w:val="24"/>
        </w:rPr>
        <w:t>玻璃溶器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/>
          <w:sz w:val="24"/>
        </w:rPr>
        <w:t>白酒瓶</w:t>
      </w:r>
    </w:p>
    <w:p>
      <w:pPr>
        <w:tabs>
          <w:tab w:val="left" w:pos="275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GB 31621 食</w:t>
      </w:r>
      <w:r>
        <w:rPr>
          <w:rFonts w:hint="eastAsia" w:ascii="Times New Roman"/>
          <w:sz w:val="24"/>
        </w:rPr>
        <w:t>品安全国家标准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hint="eastAsia" w:ascii="Times New Roman"/>
          <w:sz w:val="24"/>
        </w:rPr>
        <w:t>食品经营过程卫生规范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JJF 1070  定量包装商品净含量计量检验规则</w:t>
      </w:r>
    </w:p>
    <w:p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QB/T 1173 单晶冰糖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国家质量监督检验检疫总局</w:t>
      </w:r>
      <w:r>
        <w:rPr>
          <w:rFonts w:hint="eastAsia" w:ascii="Times New Roman" w:hAnsi="Times New Roman"/>
          <w:sz w:val="24"/>
        </w:rPr>
        <w:t>(2005)</w:t>
      </w:r>
      <w:r>
        <w:rPr>
          <w:rFonts w:hint="eastAsia" w:ascii="Times New Roman"/>
          <w:sz w:val="24"/>
        </w:rPr>
        <w:t>第</w:t>
      </w:r>
      <w:r>
        <w:rPr>
          <w:rFonts w:hint="eastAsia" w:ascii="Times New Roman" w:hAnsi="Times New Roman"/>
          <w:sz w:val="24"/>
        </w:rPr>
        <w:t>75</w:t>
      </w:r>
      <w:r>
        <w:rPr>
          <w:rFonts w:hint="eastAsia" w:ascii="Times New Roman"/>
          <w:sz w:val="24"/>
        </w:rPr>
        <w:t>号令【定量包装商品计量监督管理办法】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国家质量监督检验检疫总局令第</w:t>
      </w:r>
      <w:r>
        <w:rPr>
          <w:rFonts w:hint="eastAsia" w:ascii="Times New Roman" w:hAnsi="Times New Roman"/>
          <w:sz w:val="24"/>
        </w:rPr>
        <w:t>102</w:t>
      </w:r>
      <w:r>
        <w:rPr>
          <w:rFonts w:hint="eastAsia" w:ascii="Times New Roman"/>
          <w:sz w:val="24"/>
        </w:rPr>
        <w:t>号（</w:t>
      </w:r>
      <w:r>
        <w:rPr>
          <w:rFonts w:hint="eastAsia" w:ascii="Times New Roman" w:hAnsi="Times New Roman"/>
          <w:sz w:val="24"/>
        </w:rPr>
        <w:t>2007</w:t>
      </w:r>
      <w:r>
        <w:rPr>
          <w:rFonts w:hint="eastAsia" w:ascii="Times New Roman"/>
          <w:sz w:val="24"/>
        </w:rPr>
        <w:t>）【食品标识管理规定】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国家质量监督检验检疫总局令第</w:t>
      </w:r>
      <w:r>
        <w:rPr>
          <w:rFonts w:hint="eastAsia" w:ascii="Times New Roman" w:hAnsi="Times New Roman"/>
          <w:sz w:val="24"/>
        </w:rPr>
        <w:t>123</w:t>
      </w:r>
      <w:r>
        <w:rPr>
          <w:rFonts w:hint="eastAsia" w:ascii="Times New Roman"/>
          <w:sz w:val="24"/>
        </w:rPr>
        <w:t>号（</w:t>
      </w:r>
      <w:r>
        <w:rPr>
          <w:rFonts w:hint="eastAsia" w:ascii="Times New Roman" w:hAnsi="Times New Roman"/>
          <w:sz w:val="24"/>
        </w:rPr>
        <w:t>2009</w:t>
      </w:r>
      <w:r>
        <w:rPr>
          <w:rFonts w:hint="eastAsia" w:ascii="Times New Roman"/>
          <w:sz w:val="24"/>
        </w:rPr>
        <w:t>）【关于修改</w:t>
      </w:r>
      <w:r>
        <w:rPr>
          <w:rFonts w:hint="eastAsia" w:ascii="Times New Roman" w:hAnsi="Times New Roman" w:eastAsia="宋体" w:cs="宋体"/>
          <w:sz w:val="24"/>
        </w:rPr>
        <w:t>&lt;</w:t>
      </w:r>
      <w:r>
        <w:rPr>
          <w:rFonts w:hint="eastAsia" w:ascii="Times New Roman"/>
          <w:sz w:val="24"/>
        </w:rPr>
        <w:t>食品标识管理规定</w:t>
      </w:r>
      <w:r>
        <w:rPr>
          <w:rFonts w:hint="eastAsia" w:ascii="Times New Roman" w:hAnsi="Times New Roman" w:eastAsia="宋体" w:cs="宋体"/>
          <w:sz w:val="24"/>
        </w:rPr>
        <w:t>&gt;</w:t>
      </w:r>
      <w:r>
        <w:rPr>
          <w:rFonts w:hint="eastAsia" w:ascii="Times New Roman"/>
          <w:sz w:val="24"/>
        </w:rPr>
        <w:t>的决定】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</w:t>
      </w:r>
      <w:r>
        <w:rPr>
          <w:rFonts w:hint="eastAsia" w:ascii="Times New Roman"/>
          <w:b/>
          <w:bCs/>
          <w:sz w:val="24"/>
        </w:rPr>
        <w:t>要求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3.1</w:t>
      </w:r>
      <w:r>
        <w:rPr>
          <w:rFonts w:hint="eastAsia" w:ascii="Times New Roman"/>
          <w:b/>
          <w:bCs/>
          <w:sz w:val="24"/>
        </w:rPr>
        <w:t>原辅料要求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3.1.1刺梨果实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应新鲜、成熟、无病虫害及霉烂的刺梨（</w:t>
      </w:r>
      <w:r>
        <w:rPr>
          <w:rFonts w:hint="eastAsia" w:ascii="Times New Roman" w:hAnsi="Times New Roman"/>
          <w:i/>
          <w:sz w:val="24"/>
        </w:rPr>
        <w:t>Rosa roxburghii</w:t>
      </w:r>
      <w:r>
        <w:rPr>
          <w:rFonts w:hint="eastAsia" w:ascii="Times New Roman" w:hAnsi="Times New Roman"/>
          <w:sz w:val="24"/>
        </w:rPr>
        <w:t xml:space="preserve"> Tratt）果实，符合GB2762、GB2763的规定。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3.1.2蒸馏酒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应符合GB2757的规定。</w:t>
      </w: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3.1.3冰糖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应符合</w:t>
      </w:r>
      <w:r>
        <w:rPr>
          <w:rFonts w:ascii="Times New Roman" w:hAnsi="Times New Roman"/>
          <w:sz w:val="24"/>
        </w:rPr>
        <w:t>QB/T117</w:t>
      </w:r>
      <w:r>
        <w:rPr>
          <w:rFonts w:hint="eastAsia" w:ascii="Times New Roman" w:hAnsi="Times New Roman"/>
          <w:sz w:val="24"/>
        </w:rPr>
        <w:t>3的规定。</w:t>
      </w:r>
    </w:p>
    <w:p>
      <w:pPr>
        <w:spacing w:line="360" w:lineRule="auto"/>
        <w:jc w:val="left"/>
        <w:rPr>
          <w:rFonts w:ascii="Times New Roman"/>
          <w:sz w:val="24"/>
        </w:rPr>
      </w:pPr>
      <w:r>
        <w:rPr>
          <w:rFonts w:hint="eastAsia" w:ascii="Times New Roman" w:hAnsi="Times New Roman"/>
          <w:sz w:val="24"/>
        </w:rPr>
        <w:t>3.1.4</w:t>
      </w:r>
      <w:r>
        <w:rPr>
          <w:rFonts w:hint="eastAsia" w:ascii="Times New Roman"/>
          <w:sz w:val="24"/>
        </w:rPr>
        <w:t>生产用水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应符合</w:t>
      </w:r>
      <w:r>
        <w:rPr>
          <w:rFonts w:hint="eastAsia" w:ascii="Times New Roman" w:hAnsi="Times New Roman"/>
          <w:sz w:val="24"/>
        </w:rPr>
        <w:t>GB5749</w:t>
      </w:r>
      <w:r>
        <w:rPr>
          <w:rFonts w:hint="eastAsia" w:ascii="Times New Roman"/>
          <w:sz w:val="24"/>
        </w:rPr>
        <w:t>的规定。</w:t>
      </w:r>
    </w:p>
    <w:p>
      <w:pPr>
        <w:tabs>
          <w:tab w:val="left" w:pos="7244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7244"/>
        </w:tabs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3.2</w:t>
      </w:r>
      <w:r>
        <w:rPr>
          <w:rFonts w:hint="eastAsia" w:ascii="Times New Roman"/>
          <w:b/>
          <w:bCs/>
          <w:sz w:val="24"/>
        </w:rPr>
        <w:t>感官要求</w:t>
      </w:r>
      <w:r>
        <w:rPr>
          <w:rFonts w:hint="eastAsia" w:ascii="Times New Roman" w:hAnsi="Times New Roman"/>
          <w:b/>
          <w:sz w:val="24"/>
        </w:rPr>
        <w:tab/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感官指标应符合表</w:t>
      </w:r>
      <w:r>
        <w:rPr>
          <w:rFonts w:hint="eastAsia" w:ascii="Times New Roman" w:hAnsi="Times New Roman"/>
          <w:sz w:val="24"/>
        </w:rPr>
        <w:t>1</w:t>
      </w:r>
      <w:r>
        <w:rPr>
          <w:rFonts w:hint="eastAsia" w:ascii="Times New Roman"/>
          <w:sz w:val="24"/>
        </w:rPr>
        <w:t>的规定。</w:t>
      </w: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hint="eastAsia" w:ascii="Times New Roman"/>
          <w:szCs w:val="21"/>
        </w:rPr>
        <w:t>表</w:t>
      </w:r>
      <w:r>
        <w:rPr>
          <w:rFonts w:hint="eastAsia" w:ascii="Times New Roman" w:hAnsi="Times New Roman"/>
          <w:szCs w:val="21"/>
        </w:rPr>
        <w:t>1</w:t>
      </w:r>
      <w:r>
        <w:rPr>
          <w:rFonts w:hint="eastAsia" w:ascii="Times New Roman"/>
          <w:szCs w:val="21"/>
        </w:rPr>
        <w:t>感官要求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544"/>
        <w:gridCol w:w="3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项目</w:t>
            </w:r>
          </w:p>
        </w:tc>
        <w:tc>
          <w:tcPr>
            <w:tcW w:w="3544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要求</w:t>
            </w:r>
          </w:p>
        </w:tc>
        <w:tc>
          <w:tcPr>
            <w:tcW w:w="3594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色泽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棕黄色</w:t>
            </w:r>
          </w:p>
        </w:tc>
        <w:tc>
          <w:tcPr>
            <w:tcW w:w="3594" w:type="dxa"/>
            <w:vMerge w:val="restart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从供试样品中随机抽取</w:t>
            </w:r>
            <w:r>
              <w:rPr>
                <w:rFonts w:hint="eastAsia" w:ascii="Times New Roman" w:hAnsi="Times New Roman"/>
                <w:szCs w:val="21"/>
              </w:rPr>
              <w:t>50ml</w:t>
            </w:r>
            <w:r>
              <w:rPr>
                <w:rFonts w:hint="eastAsia" w:ascii="Times New Roman"/>
                <w:szCs w:val="21"/>
              </w:rPr>
              <w:t>置于清洁干燥无色玻璃杯中，在自然光下用目测法进行色泽、组织形态、杂质的检验。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组织形态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清亮透明、允许有少量沉淀</w:t>
            </w:r>
          </w:p>
        </w:tc>
        <w:tc>
          <w:tcPr>
            <w:tcW w:w="3594" w:type="dxa"/>
            <w:vMerge w:val="continue"/>
          </w:tcPr>
          <w:p>
            <w:pPr>
              <w:spacing w:line="360" w:lineRule="auto"/>
              <w:jc w:val="left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杂质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无正常视力可见外来杂质</w:t>
            </w:r>
          </w:p>
        </w:tc>
        <w:tc>
          <w:tcPr>
            <w:tcW w:w="3594" w:type="dxa"/>
            <w:vMerge w:val="continue"/>
          </w:tcPr>
          <w:p>
            <w:pPr>
              <w:spacing w:line="360" w:lineRule="auto"/>
              <w:jc w:val="left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香气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诸香和谐</w:t>
            </w:r>
          </w:p>
        </w:tc>
        <w:tc>
          <w:tcPr>
            <w:tcW w:w="3594" w:type="dxa"/>
            <w:vMerge w:val="restart"/>
          </w:tcPr>
          <w:p>
            <w:pPr>
              <w:tabs>
                <w:tab w:val="center" w:pos="1312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用鼻嗅、口尝的方法检验样品的香气、滋味、风格。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滋味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醇和、舒顺谐调、酒体完整</w:t>
            </w:r>
          </w:p>
        </w:tc>
        <w:tc>
          <w:tcPr>
            <w:tcW w:w="3594" w:type="dxa"/>
            <w:vMerge w:val="continue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风格</w:t>
            </w:r>
          </w:p>
        </w:tc>
        <w:tc>
          <w:tcPr>
            <w:tcW w:w="354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具有本品的独特风格</w:t>
            </w:r>
          </w:p>
        </w:tc>
        <w:tc>
          <w:tcPr>
            <w:tcW w:w="3594" w:type="dxa"/>
            <w:vMerge w:val="continue"/>
          </w:tcPr>
          <w:p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3.3</w:t>
      </w:r>
      <w:r>
        <w:rPr>
          <w:rFonts w:hint="eastAsia" w:ascii="Times New Roman"/>
          <w:b/>
          <w:bCs/>
          <w:sz w:val="24"/>
        </w:rPr>
        <w:t>理化指标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理化指标应符合表</w:t>
      </w:r>
      <w:r>
        <w:rPr>
          <w:rFonts w:hint="eastAsia" w:ascii="Times New Roman" w:hAnsi="Times New Roman"/>
          <w:sz w:val="24"/>
        </w:rPr>
        <w:t>2</w:t>
      </w:r>
      <w:r>
        <w:rPr>
          <w:rFonts w:hint="eastAsia" w:ascii="Times New Roman"/>
          <w:sz w:val="24"/>
        </w:rPr>
        <w:t>的规定。</w:t>
      </w:r>
    </w:p>
    <w:p>
      <w:pPr>
        <w:spacing w:line="360" w:lineRule="auto"/>
        <w:jc w:val="center"/>
        <w:rPr>
          <w:rFonts w:ascii="Times New Roman" w:hAnsi="Times New Roman"/>
          <w:bCs/>
          <w:sz w:val="24"/>
        </w:rPr>
      </w:pPr>
      <w:r>
        <w:rPr>
          <w:rFonts w:hint="eastAsia" w:ascii="Times New Roman"/>
          <w:szCs w:val="21"/>
        </w:rPr>
        <w:t>表2理化指标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2"/>
        <w:gridCol w:w="2168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项目</w:t>
            </w:r>
          </w:p>
        </w:tc>
        <w:tc>
          <w:tcPr>
            <w:tcW w:w="2168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指标</w:t>
            </w:r>
          </w:p>
        </w:tc>
        <w:tc>
          <w:tcPr>
            <w:tcW w:w="260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酒精度（</w:t>
            </w:r>
            <w:r>
              <w:rPr>
                <w:rFonts w:hint="eastAsia" w:ascii="Times New Roman" w:hAnsi="Times New Roman"/>
                <w:szCs w:val="21"/>
              </w:rPr>
              <w:t>20</w:t>
            </w:r>
            <w:r>
              <w:rPr>
                <w:rFonts w:hint="eastAsia" w:ascii="Times New Roman"/>
                <w:szCs w:val="21"/>
              </w:rPr>
              <w:t>℃）</w:t>
            </w:r>
            <w:r>
              <w:rPr>
                <w:rFonts w:hint="eastAsia" w:ascii="Times New Roman" w:hAnsi="Times New Roman"/>
                <w:szCs w:val="21"/>
              </w:rPr>
              <w:t>/</w:t>
            </w:r>
            <w:r>
              <w:rPr>
                <w:rFonts w:hint="eastAsia" w:ascii="Times New Roman"/>
                <w:szCs w:val="21"/>
              </w:rPr>
              <w:t>（</w:t>
            </w:r>
            <w:r>
              <w:rPr>
                <w:rFonts w:hint="eastAsia" w:ascii="Times New Roman" w:hAnsi="Times New Roman"/>
                <w:szCs w:val="21"/>
              </w:rPr>
              <w:t>%VOL</w:t>
            </w:r>
            <w:r>
              <w:rPr>
                <w:rFonts w:hint="eastAsia" w:ascii="Times New Roman"/>
                <w:szCs w:val="21"/>
              </w:rPr>
              <w:t>）</w:t>
            </w:r>
          </w:p>
        </w:tc>
        <w:tc>
          <w:tcPr>
            <w:tcW w:w="2168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  <w:r>
              <w:rPr>
                <w:rFonts w:hint="eastAsia" w:ascii="Times New Roman" w:hAnsi="Times New Roman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75</w:t>
            </w:r>
          </w:p>
        </w:tc>
        <w:tc>
          <w:tcPr>
            <w:tcW w:w="260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GB 5009.225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szCs w:val="21"/>
              </w:rPr>
            </w:pPr>
            <w:r>
              <w:rPr>
                <w:rFonts w:hint="eastAsia" w:ascii="Times New Roman"/>
                <w:szCs w:val="21"/>
              </w:rPr>
              <w:t>甲醇</w:t>
            </w:r>
            <w:r>
              <w:rPr>
                <w:rFonts w:hint="eastAsia" w:ascii="Times New Roman" w:hAnsi="Times New Roman"/>
                <w:szCs w:val="21"/>
              </w:rPr>
              <w:t>/(g/L</w:t>
            </w:r>
            <w:r>
              <w:rPr>
                <w:rFonts w:hint="eastAsia" w:ascii="Times New Roman"/>
                <w:szCs w:val="21"/>
              </w:rPr>
              <w:t>）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Arial"/>
                <w:szCs w:val="21"/>
              </w:rPr>
              <w:t>≤</w:t>
            </w:r>
          </w:p>
        </w:tc>
        <w:tc>
          <w:tcPr>
            <w:tcW w:w="2168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0.6</w:t>
            </w:r>
          </w:p>
        </w:tc>
        <w:tc>
          <w:tcPr>
            <w:tcW w:w="260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GB 5009.2</w:t>
            </w:r>
            <w:r>
              <w:rPr>
                <w:rFonts w:hint="eastAsia" w:ascii="Times New Roman" w:hAnsi="Times New Roman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szCs w:val="21"/>
              </w:rPr>
            </w:pPr>
            <w:r>
              <w:rPr>
                <w:rFonts w:hint="eastAsia" w:ascii="Times New Roman"/>
                <w:szCs w:val="21"/>
              </w:rPr>
              <w:t>氰化物（以</w:t>
            </w:r>
            <w:r>
              <w:rPr>
                <w:rFonts w:hint="eastAsia" w:ascii="Times New Roman" w:hAnsi="Times New Roman"/>
                <w:szCs w:val="21"/>
              </w:rPr>
              <w:t>HCN</w:t>
            </w:r>
            <w:r>
              <w:rPr>
                <w:rFonts w:hint="eastAsia" w:ascii="Times New Roman"/>
                <w:szCs w:val="21"/>
              </w:rPr>
              <w:t>计）</w:t>
            </w:r>
            <w:r>
              <w:rPr>
                <w:rFonts w:hint="eastAsia" w:ascii="Times New Roman" w:hAnsi="Times New Roman"/>
                <w:szCs w:val="21"/>
              </w:rPr>
              <w:t>/</w:t>
            </w:r>
            <w:r>
              <w:rPr>
                <w:rFonts w:hint="eastAsia" w:ascii="Times New Roman"/>
                <w:szCs w:val="21"/>
              </w:rPr>
              <w:t>（</w:t>
            </w:r>
            <w:r>
              <w:rPr>
                <w:rFonts w:hint="eastAsia" w:ascii="Times New Roman" w:hAnsi="Times New Roman"/>
                <w:szCs w:val="21"/>
              </w:rPr>
              <w:t>mg/L</w:t>
            </w:r>
            <w:r>
              <w:rPr>
                <w:rFonts w:hint="eastAsia" w:ascii="Times New Roman"/>
                <w:szCs w:val="21"/>
              </w:rPr>
              <w:t>）</w:t>
            </w:r>
            <w:r>
              <w:rPr>
                <w:rFonts w:ascii="Times New Roman" w:hAnsi="Times New Roman" w:cs="Arial"/>
                <w:szCs w:val="21"/>
              </w:rPr>
              <w:t>≤</w:t>
            </w:r>
          </w:p>
        </w:tc>
        <w:tc>
          <w:tcPr>
            <w:tcW w:w="2168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8.0</w:t>
            </w:r>
          </w:p>
        </w:tc>
        <w:tc>
          <w:tcPr>
            <w:tcW w:w="260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GB 5009.36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szCs w:val="21"/>
              </w:rPr>
            </w:pPr>
            <w:r>
              <w:rPr>
                <w:rFonts w:hint="eastAsia" w:ascii="Times New Roman"/>
                <w:szCs w:val="21"/>
              </w:rPr>
              <w:t>铅（以</w:t>
            </w:r>
            <w:r>
              <w:rPr>
                <w:rFonts w:hint="eastAsia" w:ascii="Times New Roman" w:hAnsi="Times New Roman"/>
                <w:szCs w:val="21"/>
              </w:rPr>
              <w:t>pb</w:t>
            </w:r>
            <w:r>
              <w:rPr>
                <w:rFonts w:hint="eastAsia" w:ascii="Times New Roman"/>
                <w:szCs w:val="21"/>
              </w:rPr>
              <w:t>计）</w:t>
            </w:r>
            <w:r>
              <w:rPr>
                <w:rFonts w:hint="eastAsia" w:ascii="Times New Roman" w:hAnsi="Times New Roman"/>
                <w:szCs w:val="21"/>
              </w:rPr>
              <w:t>/</w:t>
            </w:r>
            <w:r>
              <w:rPr>
                <w:rFonts w:hint="eastAsia" w:ascii="Times New Roman"/>
                <w:szCs w:val="21"/>
              </w:rPr>
              <w:t>（</w:t>
            </w:r>
            <w:r>
              <w:rPr>
                <w:rFonts w:hint="eastAsia" w:ascii="Times New Roman" w:hAnsi="Times New Roman"/>
                <w:szCs w:val="21"/>
              </w:rPr>
              <w:t>mg/L</w:t>
            </w:r>
            <w:r>
              <w:rPr>
                <w:rFonts w:hint="eastAsia" w:ascii="Times New Roman"/>
                <w:szCs w:val="21"/>
              </w:rPr>
              <w:t>）</w:t>
            </w:r>
            <w:r>
              <w:rPr>
                <w:rFonts w:hint="eastAsia" w:ascii="Times New Roman" w:hAnsi="Times New Roman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cs="Arial"/>
                <w:szCs w:val="21"/>
              </w:rPr>
              <w:t>≤</w:t>
            </w:r>
          </w:p>
        </w:tc>
        <w:tc>
          <w:tcPr>
            <w:tcW w:w="2168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260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GB 5009.12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注：酒精度标签标示值与实测值不得超过士</w:t>
            </w:r>
            <w:r>
              <w:rPr>
                <w:rFonts w:hint="eastAsia" w:ascii="Times New Roman" w:hAnsi="Times New Roman"/>
                <w:szCs w:val="21"/>
              </w:rPr>
              <w:t>2.0%VOL；</w:t>
            </w:r>
            <w:r>
              <w:rPr>
                <w:rFonts w:hint="eastAsia" w:ascii="Times New Roman"/>
                <w:szCs w:val="21"/>
              </w:rPr>
              <w:t>甲醇、氰化物指标均按</w:t>
            </w:r>
            <w:r>
              <w:rPr>
                <w:rFonts w:hint="eastAsia" w:ascii="Times New Roman" w:hAnsi="Times New Roman"/>
                <w:szCs w:val="21"/>
              </w:rPr>
              <w:t>100%</w:t>
            </w:r>
            <w:r>
              <w:rPr>
                <w:rFonts w:hint="eastAsia" w:ascii="Times New Roman"/>
                <w:szCs w:val="21"/>
              </w:rPr>
              <w:t>酒精度折算。</w:t>
            </w:r>
          </w:p>
        </w:tc>
      </w:tr>
    </w:tbl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3.4</w:t>
      </w:r>
      <w:r>
        <w:rPr>
          <w:rFonts w:hint="eastAsia" w:ascii="Times New Roman"/>
          <w:b/>
          <w:bCs/>
          <w:sz w:val="24"/>
        </w:rPr>
        <w:t>净含量及允许短缺量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/>
          <w:sz w:val="24"/>
        </w:rPr>
      </w:pPr>
      <w:r>
        <w:rPr>
          <w:rFonts w:hint="eastAsia" w:ascii="Times New Roman"/>
          <w:sz w:val="24"/>
        </w:rPr>
        <w:t>应符合</w:t>
      </w:r>
      <w:r>
        <w:rPr>
          <w:rFonts w:hint="eastAsia"/>
          <w:sz w:val="24"/>
        </w:rPr>
        <w:t>《定量包装商品计量监督管理办法》</w:t>
      </w:r>
      <w:r>
        <w:rPr>
          <w:rFonts w:hint="eastAsia" w:ascii="Times New Roman"/>
          <w:sz w:val="24"/>
        </w:rPr>
        <w:t>的规定：按</w:t>
      </w:r>
      <w:r>
        <w:rPr>
          <w:rFonts w:hint="eastAsia" w:ascii="Times New Roman" w:hAnsi="Times New Roman"/>
          <w:sz w:val="24"/>
        </w:rPr>
        <w:t>JJF1070</w:t>
      </w:r>
      <w:r>
        <w:rPr>
          <w:rFonts w:hint="eastAsia" w:ascii="Times New Roman"/>
          <w:sz w:val="24"/>
        </w:rPr>
        <w:t>规定的方法测定。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3.5 食品添加剂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/>
          <w:sz w:val="24"/>
        </w:rPr>
      </w:pPr>
      <w:r>
        <w:rPr>
          <w:rFonts w:hint="eastAsia" w:ascii="Times New Roman"/>
          <w:sz w:val="24"/>
        </w:rPr>
        <w:t>3.5.1 食品添加剂的质量应符合安全标准及有关规定。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/>
          <w:sz w:val="24"/>
        </w:rPr>
      </w:pPr>
      <w:r>
        <w:rPr>
          <w:rFonts w:hint="eastAsia" w:ascii="Times New Roman"/>
          <w:sz w:val="24"/>
        </w:rPr>
        <w:t>3.5.2 食品添加剂使用应符合GB 2760配制酒的规定。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3.6</w:t>
      </w:r>
      <w:r>
        <w:rPr>
          <w:rFonts w:hint="eastAsia" w:ascii="Times New Roman"/>
          <w:b/>
          <w:bCs/>
          <w:sz w:val="24"/>
        </w:rPr>
        <w:t>生产加工过程的卫生要求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应符合</w:t>
      </w:r>
      <w:r>
        <w:rPr>
          <w:rFonts w:hint="eastAsia" w:ascii="Times New Roman" w:hAnsi="Times New Roman"/>
          <w:sz w:val="24"/>
        </w:rPr>
        <w:t xml:space="preserve">GB14881 </w:t>
      </w:r>
      <w:r>
        <w:rPr>
          <w:rFonts w:hint="eastAsia" w:ascii="Times New Roman"/>
          <w:sz w:val="24"/>
        </w:rPr>
        <w:t>规定。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</w:t>
      </w:r>
      <w:r>
        <w:rPr>
          <w:rFonts w:hint="eastAsia" w:ascii="Times New Roman"/>
          <w:b/>
          <w:bCs/>
          <w:sz w:val="24"/>
        </w:rPr>
        <w:t>检测规则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4.1</w:t>
      </w:r>
      <w:r>
        <w:rPr>
          <w:rFonts w:hint="eastAsia" w:ascii="Times New Roman"/>
          <w:b/>
          <w:bCs/>
          <w:sz w:val="24"/>
        </w:rPr>
        <w:t>组批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以同一原料、同一工艺、同一生产线生产的</w:t>
      </w:r>
      <w:r>
        <w:rPr>
          <w:rFonts w:hint="eastAsia" w:ascii="Times New Roman" w:hAnsi="Times New Roman"/>
          <w:bCs/>
          <w:sz w:val="24"/>
        </w:rPr>
        <w:t>同一品种、规格的产品为一批。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4.2</w:t>
      </w:r>
      <w:r>
        <w:rPr>
          <w:rFonts w:hint="eastAsia" w:ascii="Times New Roman"/>
          <w:b/>
          <w:bCs/>
          <w:sz w:val="24"/>
        </w:rPr>
        <w:t>抽样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从每批产品中随机抽取</w:t>
      </w:r>
      <w:r>
        <w:rPr>
          <w:rFonts w:hint="eastAsia" w:ascii="Times New Roman" w:hAnsi="Times New Roman"/>
          <w:sz w:val="24"/>
        </w:rPr>
        <w:t>n</w:t>
      </w:r>
      <w:r>
        <w:rPr>
          <w:rFonts w:hint="eastAsia" w:ascii="Times New Roman"/>
          <w:sz w:val="24"/>
        </w:rPr>
        <w:t>箱，在从</w:t>
      </w:r>
      <w:r>
        <w:rPr>
          <w:rFonts w:hint="eastAsia" w:ascii="Times New Roman" w:hAnsi="Times New Roman"/>
          <w:sz w:val="24"/>
        </w:rPr>
        <w:t>n</w:t>
      </w:r>
      <w:r>
        <w:rPr>
          <w:rFonts w:hint="eastAsia" w:ascii="Times New Roman"/>
          <w:sz w:val="24"/>
        </w:rPr>
        <w:t>箱中各抽取一瓶。按表</w:t>
      </w:r>
      <w:r>
        <w:rPr>
          <w:rFonts w:hint="eastAsia" w:ascii="Times New Roman" w:hAnsi="Times New Roman"/>
          <w:sz w:val="24"/>
        </w:rPr>
        <w:t>3</w:t>
      </w:r>
      <w:r>
        <w:rPr>
          <w:rFonts w:hint="eastAsia" w:ascii="Times New Roman"/>
          <w:sz w:val="24"/>
        </w:rPr>
        <w:t>抽取样品，样品总量不足</w:t>
      </w:r>
      <w:r>
        <w:rPr>
          <w:rFonts w:hint="eastAsia" w:ascii="Times New Roman" w:hAnsi="Times New Roman"/>
          <w:sz w:val="24"/>
        </w:rPr>
        <w:t>3.0 L</w:t>
      </w:r>
      <w:r>
        <w:rPr>
          <w:rFonts w:hint="eastAsia" w:ascii="Times New Roman"/>
          <w:sz w:val="24"/>
        </w:rPr>
        <w:t>时，应适当按比例加取。并将其中的三分之一样品封存，保留备查。</w:t>
      </w:r>
      <w:r>
        <w:rPr>
          <w:rFonts w:hint="eastAsia" w:ascii="Times New Roman" w:hAnsi="Times New Roman"/>
          <w:sz w:val="24"/>
        </w:rPr>
        <w:t xml:space="preserve">  </w:t>
      </w:r>
    </w:p>
    <w:p>
      <w:pPr>
        <w:spacing w:line="360" w:lineRule="auto"/>
        <w:jc w:val="center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表3抽样表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样品批量范围（箱）</w:t>
            </w:r>
          </w:p>
        </w:tc>
        <w:tc>
          <w:tcPr>
            <w:tcW w:w="50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/>
                <w:b/>
                <w:szCs w:val="21"/>
              </w:rPr>
              <w:t>样品数量（瓶）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840" w:firstLineChars="4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</w:rPr>
              <w:t>≤</w:t>
            </w:r>
            <w:r>
              <w:rPr>
                <w:rFonts w:hint="eastAsia" w:ascii="Times New Roman" w:hAnsi="Times New Roman"/>
                <w:szCs w:val="21"/>
              </w:rPr>
              <w:t>1200</w:t>
            </w:r>
          </w:p>
        </w:tc>
        <w:tc>
          <w:tcPr>
            <w:tcW w:w="50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2310" w:firstLineChars="11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840" w:firstLineChars="4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1201-3500</w:t>
            </w:r>
          </w:p>
        </w:tc>
        <w:tc>
          <w:tcPr>
            <w:tcW w:w="50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2310" w:firstLineChars="11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840" w:firstLineChars="40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</w:rPr>
              <w:t>≥</w:t>
            </w:r>
            <w:r>
              <w:rPr>
                <w:rFonts w:hint="eastAsia" w:ascii="Times New Roman" w:hAnsi="Times New Roman"/>
                <w:szCs w:val="21"/>
              </w:rPr>
              <w:t>35001</w:t>
            </w:r>
            <w:bookmarkStart w:id="1" w:name="_GoBack"/>
            <w:bookmarkEnd w:id="1"/>
          </w:p>
        </w:tc>
        <w:tc>
          <w:tcPr>
            <w:tcW w:w="5052" w:type="dxa"/>
          </w:tcPr>
          <w:p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="2268" w:firstLineChars="108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12</w:t>
            </w:r>
          </w:p>
        </w:tc>
      </w:tr>
    </w:tbl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4.3</w:t>
      </w:r>
      <w:r>
        <w:rPr>
          <w:rFonts w:hint="eastAsia" w:ascii="Times New Roman"/>
          <w:b/>
          <w:bCs/>
          <w:sz w:val="24"/>
        </w:rPr>
        <w:t>出厂检验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4.3.1</w:t>
      </w:r>
      <w:r>
        <w:rPr>
          <w:rFonts w:hint="eastAsia" w:ascii="Times New Roman"/>
          <w:sz w:val="24"/>
        </w:rPr>
        <w:t>产品出厂前，应由本公司质量检验部门按本标准逐批检验。检验合格并签发质量合格证的产品，方可出厂。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4.3.2</w:t>
      </w:r>
      <w:r>
        <w:rPr>
          <w:rFonts w:hint="eastAsia" w:ascii="Times New Roman"/>
          <w:sz w:val="24"/>
        </w:rPr>
        <w:t>出厂检验项目：感官、酒精度、甲醇、净含量。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4.4</w:t>
      </w:r>
      <w:r>
        <w:rPr>
          <w:rFonts w:hint="eastAsia" w:ascii="Times New Roman"/>
          <w:b/>
          <w:bCs/>
          <w:sz w:val="24"/>
        </w:rPr>
        <w:t>型式检验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型式检验包括本标准的全部要求，一般每</w:t>
      </w:r>
      <w:r>
        <w:rPr>
          <w:rFonts w:hint="eastAsia" w:ascii="Times New Roman" w:hAnsi="Times New Roman"/>
          <w:sz w:val="24"/>
        </w:rPr>
        <w:t>6</w:t>
      </w:r>
      <w:r>
        <w:rPr>
          <w:rFonts w:hint="eastAsia" w:ascii="Times New Roman"/>
          <w:sz w:val="24"/>
        </w:rPr>
        <w:t>个月进行一次，有下列情况之一时亦应进行。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A</w:t>
      </w:r>
      <w:r>
        <w:rPr>
          <w:rFonts w:hint="eastAsia" w:ascii="Times New Roman"/>
          <w:sz w:val="24"/>
        </w:rPr>
        <w:t>）产品定型投产时；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B</w:t>
      </w:r>
      <w:r>
        <w:rPr>
          <w:rFonts w:hint="eastAsia" w:ascii="Times New Roman"/>
          <w:sz w:val="24"/>
        </w:rPr>
        <w:t>）更换主要设备时；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C</w:t>
      </w:r>
      <w:r>
        <w:rPr>
          <w:rFonts w:hint="eastAsia" w:ascii="Times New Roman"/>
          <w:sz w:val="24"/>
        </w:rPr>
        <w:t>）出厂检验结果与上次型式检验有较大差异时；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D</w:t>
      </w:r>
      <w:r>
        <w:rPr>
          <w:rFonts w:hint="eastAsia" w:ascii="Times New Roman"/>
          <w:sz w:val="24"/>
        </w:rPr>
        <w:t>）原料产地或供货商发生变化时；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E</w:t>
      </w:r>
      <w:r>
        <w:rPr>
          <w:rFonts w:hint="eastAsia" w:ascii="Times New Roman"/>
          <w:sz w:val="24"/>
        </w:rPr>
        <w:t>）停产半年以上恢复生产时；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F</w:t>
      </w:r>
      <w:r>
        <w:rPr>
          <w:rFonts w:hint="eastAsia" w:ascii="Times New Roman"/>
          <w:sz w:val="24"/>
        </w:rPr>
        <w:t>）食品安全监督机构提出要求时。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960" w:firstLineChars="400"/>
        <w:jc w:val="left"/>
        <w:rPr>
          <w:rFonts w:ascii="Times New Roman" w:hAnsi="Times New Roman"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4.5</w:t>
      </w:r>
      <w:r>
        <w:rPr>
          <w:rFonts w:hint="eastAsia" w:ascii="Times New Roman"/>
          <w:b/>
          <w:bCs/>
          <w:sz w:val="24"/>
        </w:rPr>
        <w:t>判定规则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若检验结果中所有项目都符合本标准规定的要求，则判定该批产品为合格品，若检验结果中有项目不符合本标准的要求，允许从该批产品留样中抽样，对不符合项目进行复检，若复检后仍不合格，则判该批产品为不合格品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ind w:firstLine="960" w:firstLineChars="400"/>
        <w:jc w:val="left"/>
        <w:rPr>
          <w:rFonts w:ascii="Times New Roman" w:hAnsi="Times New Roman"/>
          <w:sz w:val="24"/>
        </w:rPr>
      </w:pPr>
    </w:p>
    <w:p>
      <w:pPr>
        <w:widowControl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5标签、</w:t>
      </w:r>
      <w:r>
        <w:rPr>
          <w:rFonts w:hint="eastAsia" w:ascii="Times New Roman"/>
          <w:b/>
          <w:bCs/>
          <w:sz w:val="24"/>
        </w:rPr>
        <w:t>标志</w:t>
      </w:r>
      <w:r>
        <w:rPr>
          <w:rFonts w:hint="eastAsia" w:ascii="Times New Roman" w:hAnsi="Times New Roman"/>
          <w:b/>
          <w:bCs/>
          <w:sz w:val="24"/>
        </w:rPr>
        <w:t>、</w:t>
      </w:r>
      <w:r>
        <w:rPr>
          <w:rFonts w:hint="eastAsia" w:ascii="Times New Roman"/>
          <w:b/>
          <w:bCs/>
          <w:sz w:val="24"/>
        </w:rPr>
        <w:t>包装</w:t>
      </w:r>
      <w:r>
        <w:rPr>
          <w:rFonts w:hint="eastAsia" w:ascii="Times New Roman" w:hAnsi="Times New Roman"/>
          <w:b/>
          <w:bCs/>
          <w:sz w:val="24"/>
        </w:rPr>
        <w:t>、</w:t>
      </w:r>
      <w:r>
        <w:rPr>
          <w:rFonts w:hint="eastAsia" w:ascii="Times New Roman"/>
          <w:b/>
          <w:bCs/>
          <w:sz w:val="24"/>
        </w:rPr>
        <w:t>运输</w:t>
      </w:r>
      <w:r>
        <w:rPr>
          <w:rFonts w:hint="eastAsia" w:ascii="Times New Roman" w:hAnsi="Times New Roman"/>
          <w:b/>
          <w:bCs/>
          <w:sz w:val="24"/>
        </w:rPr>
        <w:t>、</w:t>
      </w:r>
      <w:r>
        <w:rPr>
          <w:rFonts w:hint="eastAsia" w:ascii="Times New Roman"/>
          <w:b/>
          <w:bCs/>
          <w:sz w:val="24"/>
        </w:rPr>
        <w:t>贮存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5.1标签、</w:t>
      </w:r>
      <w:r>
        <w:rPr>
          <w:rFonts w:hint="eastAsia" w:ascii="Times New Roman"/>
          <w:b/>
          <w:bCs/>
          <w:sz w:val="24"/>
        </w:rPr>
        <w:t>标志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5.1.1</w:t>
      </w:r>
      <w:r>
        <w:rPr>
          <w:rFonts w:hint="eastAsia" w:ascii="Times New Roman"/>
          <w:sz w:val="24"/>
        </w:rPr>
        <w:t>产品的预包装标志符合</w:t>
      </w:r>
      <w:r>
        <w:rPr>
          <w:rFonts w:hint="eastAsia" w:ascii="Times New Roman" w:hAnsi="Times New Roman"/>
          <w:sz w:val="24"/>
        </w:rPr>
        <w:t>GB7718</w:t>
      </w:r>
      <w:r>
        <w:rPr>
          <w:rFonts w:hint="eastAsia" w:ascii="Times New Roman"/>
          <w:sz w:val="24"/>
        </w:rPr>
        <w:t>，国家质检总局第</w:t>
      </w:r>
      <w:r>
        <w:rPr>
          <w:rFonts w:hint="eastAsia" w:ascii="Times New Roman" w:hAnsi="Times New Roman"/>
          <w:sz w:val="24"/>
        </w:rPr>
        <w:t>102</w:t>
      </w:r>
      <w:r>
        <w:rPr>
          <w:rFonts w:hint="eastAsia" w:ascii="Times New Roman"/>
          <w:sz w:val="24"/>
        </w:rPr>
        <w:t>号令和</w:t>
      </w:r>
      <w:r>
        <w:rPr>
          <w:rFonts w:hint="eastAsia" w:ascii="Times New Roman" w:hAnsi="Times New Roman"/>
          <w:sz w:val="24"/>
        </w:rPr>
        <w:t>123</w:t>
      </w:r>
      <w:r>
        <w:rPr>
          <w:rFonts w:hint="eastAsia" w:ascii="Times New Roman"/>
          <w:sz w:val="24"/>
        </w:rPr>
        <w:t>号令《食品标识管理规定》的规定。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5.1.2</w:t>
      </w:r>
      <w:r>
        <w:rPr>
          <w:rFonts w:hint="eastAsia" w:ascii="Times New Roman"/>
          <w:sz w:val="24"/>
        </w:rPr>
        <w:t>外包装标志应符合</w:t>
      </w:r>
      <w:r>
        <w:rPr>
          <w:rFonts w:hint="eastAsia" w:ascii="Times New Roman" w:hAnsi="Times New Roman"/>
          <w:sz w:val="24"/>
        </w:rPr>
        <w:t>GB/T191</w:t>
      </w:r>
      <w:r>
        <w:rPr>
          <w:rFonts w:hint="eastAsia" w:ascii="Times New Roman"/>
          <w:sz w:val="24"/>
        </w:rPr>
        <w:t>规定。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5.1.3</w:t>
      </w:r>
      <w:r>
        <w:rPr>
          <w:rFonts w:hint="eastAsia" w:ascii="Times New Roman"/>
          <w:sz w:val="24"/>
        </w:rPr>
        <w:t>应以</w:t>
      </w:r>
      <w:r>
        <w:rPr>
          <w:rFonts w:hint="eastAsia" w:ascii="Times New Roman" w:hAnsi="Times New Roman"/>
          <w:sz w:val="24"/>
        </w:rPr>
        <w:t xml:space="preserve"> %VOL</w:t>
      </w:r>
      <w:r>
        <w:rPr>
          <w:rFonts w:hint="eastAsia" w:ascii="Times New Roman"/>
          <w:sz w:val="24"/>
        </w:rPr>
        <w:t>为单位标示酒精度，应标示</w:t>
      </w:r>
      <w:r>
        <w:rPr>
          <w:rFonts w:hint="eastAsia" w:ascii="Times New Roman" w:hAnsi="Times New Roman"/>
          <w:sz w:val="24"/>
        </w:rPr>
        <w:t>“</w:t>
      </w:r>
      <w:r>
        <w:rPr>
          <w:rFonts w:hint="eastAsia" w:ascii="Times New Roman"/>
          <w:sz w:val="24"/>
        </w:rPr>
        <w:t>过量饮酒有害健康</w:t>
      </w:r>
      <w:r>
        <w:rPr>
          <w:rFonts w:hint="eastAsia" w:ascii="Times New Roman" w:hAnsi="Times New Roman"/>
          <w:sz w:val="24"/>
        </w:rPr>
        <w:t>”</w:t>
      </w:r>
      <w:r>
        <w:rPr>
          <w:rFonts w:hint="eastAsia" w:ascii="Times New Roman"/>
          <w:sz w:val="24"/>
        </w:rPr>
        <w:t>。</w:t>
      </w: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5.2</w:t>
      </w:r>
      <w:r>
        <w:rPr>
          <w:rFonts w:hint="eastAsia" w:ascii="Times New Roman"/>
          <w:b/>
          <w:bCs/>
          <w:sz w:val="24"/>
        </w:rPr>
        <w:t>包装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包装材料为玻璃瓶、瓷瓶，符合</w:t>
      </w:r>
      <w:r>
        <w:rPr>
          <w:rFonts w:hint="eastAsia" w:ascii="Times New Roman" w:hAnsi="Times New Roman"/>
          <w:sz w:val="24"/>
        </w:rPr>
        <w:t>GB/T24694</w:t>
      </w:r>
      <w:r>
        <w:rPr>
          <w:rFonts w:hint="eastAsia" w:ascii="Times New Roman"/>
          <w:sz w:val="24"/>
        </w:rPr>
        <w:t>、</w:t>
      </w:r>
      <w:r>
        <w:rPr>
          <w:rFonts w:hint="eastAsia" w:ascii="Times New Roman" w:hAnsi="Times New Roman"/>
          <w:sz w:val="24"/>
        </w:rPr>
        <w:t>GB13121</w:t>
      </w:r>
      <w:r>
        <w:rPr>
          <w:rFonts w:hint="eastAsia" w:ascii="Times New Roman"/>
          <w:sz w:val="24"/>
        </w:rPr>
        <w:t>的规定。外包装采用瓦楞纸箱符合</w:t>
      </w:r>
      <w:r>
        <w:rPr>
          <w:rFonts w:hint="eastAsia" w:ascii="Times New Roman" w:hAnsi="Times New Roman"/>
          <w:sz w:val="24"/>
        </w:rPr>
        <w:t>GB/T6543</w:t>
      </w:r>
      <w:r>
        <w:rPr>
          <w:rFonts w:hint="eastAsia" w:ascii="Times New Roman"/>
          <w:sz w:val="24"/>
        </w:rPr>
        <w:t>的规定。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5.3</w:t>
      </w:r>
      <w:r>
        <w:rPr>
          <w:rFonts w:hint="eastAsia" w:ascii="Times New Roman"/>
          <w:b/>
          <w:bCs/>
          <w:sz w:val="24"/>
        </w:rPr>
        <w:t>运输</w:t>
      </w:r>
    </w:p>
    <w:p>
      <w:pPr>
        <w:tabs>
          <w:tab w:val="left" w:pos="734"/>
        </w:tabs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运输应符合</w:t>
      </w:r>
      <w:r>
        <w:rPr>
          <w:rFonts w:hint="eastAsia" w:ascii="Times New Roman" w:hAnsi="Times New Roman"/>
          <w:sz w:val="24"/>
        </w:rPr>
        <w:t>GB 31621</w:t>
      </w:r>
      <w:r>
        <w:rPr>
          <w:rFonts w:hint="eastAsia" w:ascii="Times New Roman"/>
          <w:sz w:val="24"/>
        </w:rPr>
        <w:t>的规定。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5.4</w:t>
      </w:r>
      <w:r>
        <w:rPr>
          <w:rFonts w:hint="eastAsia" w:ascii="Times New Roman"/>
          <w:b/>
          <w:bCs/>
          <w:sz w:val="24"/>
        </w:rPr>
        <w:t>贮存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hint="eastAsia" w:ascii="Times New Roman"/>
          <w:sz w:val="24"/>
        </w:rPr>
        <w:t>运输应符合</w:t>
      </w:r>
      <w:r>
        <w:rPr>
          <w:rFonts w:hint="eastAsia" w:ascii="Times New Roman" w:hAnsi="Times New Roman"/>
          <w:sz w:val="24"/>
        </w:rPr>
        <w:t>GB 31621</w:t>
      </w:r>
      <w:r>
        <w:rPr>
          <w:rFonts w:hint="eastAsia" w:ascii="Times New Roman"/>
          <w:sz w:val="24"/>
        </w:rPr>
        <w:t>的规定。</w:t>
      </w:r>
    </w:p>
    <w:p>
      <w:pPr>
        <w:wordWrap w:val="0"/>
        <w:spacing w:before="312" w:beforeLines="100" w:after="312" w:afterLines="100"/>
        <w:jc w:val="right"/>
        <w:rPr>
          <w:rFonts w:ascii="Times New Roman" w:hAnsi="Times New Roman" w:eastAsia="黑体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567" w:footer="680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color w:val="000000"/>
          <w:sz w:val="24"/>
          <w:u w:val="single"/>
        </w:rPr>
        <w:t xml:space="preserve">                  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                              </w:t>
      </w:r>
    </w:p>
    <w:p>
      <w:pPr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4200"/>
        </w:tabs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tab w:relativeTo="margin" w:alignment="center" w:leader="none"/>
    </w:r>
    <w:r>
      <w:ptab w:relativeTo="margin" w:alignment="center" w:leader="none"/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-1050" w:rightChars="-500" w:firstLine="5670" w:firstLineChars="2700"/>
      <w:rPr>
        <w:sz w:val="28"/>
        <w:szCs w:val="28"/>
      </w:rPr>
    </w:pPr>
    <w:r>
      <w:ptab w:relativeTo="margin" w:alignment="right" w:leader="none"/>
    </w:r>
    <w:r>
      <w:rPr>
        <w:rFonts w:hint="eastAsia"/>
      </w:rPr>
      <w:t>Q/DML 0001S——2020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69D2852"/>
    <w:rsid w:val="00002B53"/>
    <w:rsid w:val="000651EE"/>
    <w:rsid w:val="000B7161"/>
    <w:rsid w:val="000C1693"/>
    <w:rsid w:val="00135108"/>
    <w:rsid w:val="001A4B5A"/>
    <w:rsid w:val="001B3935"/>
    <w:rsid w:val="001C7C89"/>
    <w:rsid w:val="001F1540"/>
    <w:rsid w:val="002033C4"/>
    <w:rsid w:val="00225297"/>
    <w:rsid w:val="002405F8"/>
    <w:rsid w:val="00293E03"/>
    <w:rsid w:val="002B689A"/>
    <w:rsid w:val="0031309F"/>
    <w:rsid w:val="00366DB2"/>
    <w:rsid w:val="003B1863"/>
    <w:rsid w:val="003F6B8A"/>
    <w:rsid w:val="004458E9"/>
    <w:rsid w:val="00460720"/>
    <w:rsid w:val="0048233C"/>
    <w:rsid w:val="00485EE5"/>
    <w:rsid w:val="004B76F5"/>
    <w:rsid w:val="004D4A6E"/>
    <w:rsid w:val="00552CF0"/>
    <w:rsid w:val="005A7B9E"/>
    <w:rsid w:val="005D4043"/>
    <w:rsid w:val="005F38EC"/>
    <w:rsid w:val="00620502"/>
    <w:rsid w:val="00635B00"/>
    <w:rsid w:val="00674A63"/>
    <w:rsid w:val="00680E8A"/>
    <w:rsid w:val="007466B0"/>
    <w:rsid w:val="00790A3E"/>
    <w:rsid w:val="008214DC"/>
    <w:rsid w:val="008508AA"/>
    <w:rsid w:val="00884CC5"/>
    <w:rsid w:val="008946A0"/>
    <w:rsid w:val="009000A3"/>
    <w:rsid w:val="0090095C"/>
    <w:rsid w:val="00913912"/>
    <w:rsid w:val="009320EE"/>
    <w:rsid w:val="0095152D"/>
    <w:rsid w:val="0098139B"/>
    <w:rsid w:val="009E37B9"/>
    <w:rsid w:val="00A70A59"/>
    <w:rsid w:val="00A90C66"/>
    <w:rsid w:val="00AC00F0"/>
    <w:rsid w:val="00AF1F0C"/>
    <w:rsid w:val="00B03FC0"/>
    <w:rsid w:val="00BD70F6"/>
    <w:rsid w:val="00C4702A"/>
    <w:rsid w:val="00C47737"/>
    <w:rsid w:val="00C56712"/>
    <w:rsid w:val="00CD774F"/>
    <w:rsid w:val="00CF47A3"/>
    <w:rsid w:val="00CF5142"/>
    <w:rsid w:val="00D62D5F"/>
    <w:rsid w:val="00D8298A"/>
    <w:rsid w:val="00D87728"/>
    <w:rsid w:val="00E25DD2"/>
    <w:rsid w:val="00E75CD4"/>
    <w:rsid w:val="00E77948"/>
    <w:rsid w:val="00EF2181"/>
    <w:rsid w:val="00F15B5F"/>
    <w:rsid w:val="00F25BF7"/>
    <w:rsid w:val="00F44D5F"/>
    <w:rsid w:val="00F82A56"/>
    <w:rsid w:val="00F966C4"/>
    <w:rsid w:val="00FD63E4"/>
    <w:rsid w:val="00FF3B55"/>
    <w:rsid w:val="01437D90"/>
    <w:rsid w:val="02943358"/>
    <w:rsid w:val="0386600B"/>
    <w:rsid w:val="03E05969"/>
    <w:rsid w:val="08017ABF"/>
    <w:rsid w:val="09104AB0"/>
    <w:rsid w:val="0AC41F2D"/>
    <w:rsid w:val="0C196867"/>
    <w:rsid w:val="0C4449AB"/>
    <w:rsid w:val="0DE73562"/>
    <w:rsid w:val="120B46B4"/>
    <w:rsid w:val="12CA2A53"/>
    <w:rsid w:val="12D7765D"/>
    <w:rsid w:val="13AC4299"/>
    <w:rsid w:val="13C35980"/>
    <w:rsid w:val="14870550"/>
    <w:rsid w:val="1B5472F3"/>
    <w:rsid w:val="1C592998"/>
    <w:rsid w:val="1C980240"/>
    <w:rsid w:val="1CBC49EB"/>
    <w:rsid w:val="1FFD4928"/>
    <w:rsid w:val="21656D99"/>
    <w:rsid w:val="219E67DA"/>
    <w:rsid w:val="26697B28"/>
    <w:rsid w:val="299F24EB"/>
    <w:rsid w:val="2BE95451"/>
    <w:rsid w:val="2C8B66E3"/>
    <w:rsid w:val="2D732F2F"/>
    <w:rsid w:val="2E2C47CB"/>
    <w:rsid w:val="2EF33094"/>
    <w:rsid w:val="34414B05"/>
    <w:rsid w:val="34842993"/>
    <w:rsid w:val="366C31A5"/>
    <w:rsid w:val="373F1D42"/>
    <w:rsid w:val="3B6A7116"/>
    <w:rsid w:val="3C2E7486"/>
    <w:rsid w:val="3CFE16D9"/>
    <w:rsid w:val="42002018"/>
    <w:rsid w:val="461902DD"/>
    <w:rsid w:val="47453780"/>
    <w:rsid w:val="49E20539"/>
    <w:rsid w:val="4A5F2687"/>
    <w:rsid w:val="4AAC0640"/>
    <w:rsid w:val="4C744E0D"/>
    <w:rsid w:val="4FDF0B04"/>
    <w:rsid w:val="502B4F9C"/>
    <w:rsid w:val="52237000"/>
    <w:rsid w:val="5239632D"/>
    <w:rsid w:val="5242450B"/>
    <w:rsid w:val="530F1902"/>
    <w:rsid w:val="54021D0D"/>
    <w:rsid w:val="5DB70830"/>
    <w:rsid w:val="6001215E"/>
    <w:rsid w:val="64BC7FEA"/>
    <w:rsid w:val="65B37340"/>
    <w:rsid w:val="6BFD7492"/>
    <w:rsid w:val="6F884FEE"/>
    <w:rsid w:val="6FE1660D"/>
    <w:rsid w:val="6FFC26B9"/>
    <w:rsid w:val="71EA4C1A"/>
    <w:rsid w:val="71EF10B9"/>
    <w:rsid w:val="734F7421"/>
    <w:rsid w:val="74C236C3"/>
    <w:rsid w:val="74D6456A"/>
    <w:rsid w:val="769D2852"/>
    <w:rsid w:val="76A00092"/>
    <w:rsid w:val="77EA64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0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1">
    <w:name w:val="批注框文本 字符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9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7FA989-6D88-4BB7-95D9-0249E67A53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2060</Words>
  <Characters>923</Characters>
  <Lines>7</Lines>
  <Paragraphs>5</Paragraphs>
  <TotalTime>552</TotalTime>
  <ScaleCrop>false</ScaleCrop>
  <LinksUpToDate>false</LinksUpToDate>
  <CharactersWithSpaces>2978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2020-05-25T12:40:00Z</dcterms:created>
  <dc:creator>沣哥</dc:creator>
  <cp:lastModifiedBy>想淰</cp:lastModifiedBy>
  <cp:lastPrinted>2020-06-02T01:16:50Z</cp:lastPrinted>
  <dcterms:modified xsi:type="dcterms:W3CDTF">2020-06-02T01:16:57Z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