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17D" w:rsidRDefault="000614CB">
      <w:pPr>
        <w:rPr>
          <w:rFonts w:eastAsia="黑体"/>
          <w:kern w:val="0"/>
          <w:sz w:val="32"/>
          <w:szCs w:val="32"/>
        </w:rPr>
      </w:pPr>
      <w:bookmarkStart w:id="0" w:name="_Toc27329_WPSOffice_Level1"/>
      <w:bookmarkStart w:id="1" w:name="_GoBack"/>
      <w:bookmarkEnd w:id="1"/>
      <w:r>
        <w:rPr>
          <w:rFonts w:eastAsia="黑体"/>
          <w:kern w:val="0"/>
          <w:sz w:val="32"/>
          <w:szCs w:val="32"/>
        </w:rPr>
        <w:t>附件</w:t>
      </w:r>
      <w:r>
        <w:rPr>
          <w:rFonts w:eastAsia="黑体"/>
          <w:kern w:val="0"/>
          <w:sz w:val="32"/>
          <w:szCs w:val="32"/>
        </w:rPr>
        <w:t>1</w:t>
      </w:r>
    </w:p>
    <w:p w:rsidR="009E517D" w:rsidRDefault="009E517D">
      <w:pPr>
        <w:tabs>
          <w:tab w:val="left" w:pos="2655"/>
        </w:tabs>
        <w:spacing w:line="560" w:lineRule="exact"/>
        <w:jc w:val="center"/>
        <w:rPr>
          <w:rFonts w:eastAsia="方正小标宋简体"/>
          <w:kern w:val="0"/>
          <w:sz w:val="42"/>
          <w:szCs w:val="42"/>
        </w:rPr>
      </w:pPr>
    </w:p>
    <w:p w:rsidR="009E517D" w:rsidRDefault="000614CB">
      <w:pPr>
        <w:spacing w:line="700" w:lineRule="exact"/>
        <w:jc w:val="center"/>
        <w:outlineLvl w:val="0"/>
        <w:rPr>
          <w:rFonts w:eastAsia="方正小标宋简体"/>
          <w:sz w:val="42"/>
          <w:szCs w:val="42"/>
        </w:rPr>
      </w:pPr>
      <w:r>
        <w:rPr>
          <w:rFonts w:eastAsia="方正小标宋简体"/>
          <w:sz w:val="42"/>
          <w:szCs w:val="42"/>
        </w:rPr>
        <w:t>保健食品中西地那非和他</w:t>
      </w:r>
      <w:proofErr w:type="gramStart"/>
      <w:r>
        <w:rPr>
          <w:rFonts w:eastAsia="方正小标宋简体"/>
          <w:sz w:val="42"/>
          <w:szCs w:val="42"/>
        </w:rPr>
        <w:t>达拉非的</w:t>
      </w:r>
      <w:proofErr w:type="gramEnd"/>
      <w:r>
        <w:rPr>
          <w:rFonts w:eastAsia="方正小标宋简体"/>
          <w:sz w:val="42"/>
          <w:szCs w:val="42"/>
        </w:rPr>
        <w:t>快速检测</w:t>
      </w:r>
    </w:p>
    <w:p w:rsidR="009E517D" w:rsidRDefault="000614CB">
      <w:pPr>
        <w:spacing w:line="700" w:lineRule="exact"/>
        <w:jc w:val="center"/>
        <w:outlineLvl w:val="0"/>
        <w:rPr>
          <w:rFonts w:eastAsia="方正小标宋简体"/>
          <w:sz w:val="42"/>
          <w:szCs w:val="42"/>
        </w:rPr>
      </w:pPr>
      <w:r>
        <w:rPr>
          <w:rFonts w:eastAsia="方正小标宋简体"/>
          <w:sz w:val="42"/>
          <w:szCs w:val="42"/>
        </w:rPr>
        <w:t>胶体金免疫层析法</w:t>
      </w:r>
    </w:p>
    <w:p w:rsidR="009E517D" w:rsidRDefault="000614CB">
      <w:pPr>
        <w:spacing w:line="700" w:lineRule="exact"/>
        <w:jc w:val="center"/>
        <w:outlineLvl w:val="0"/>
        <w:rPr>
          <w:rFonts w:eastAsia="方正小标宋简体"/>
          <w:sz w:val="42"/>
          <w:szCs w:val="42"/>
        </w:rPr>
      </w:pPr>
      <w:r>
        <w:rPr>
          <w:rFonts w:eastAsia="方正小标宋简体"/>
          <w:sz w:val="42"/>
          <w:szCs w:val="42"/>
        </w:rPr>
        <w:t>（</w:t>
      </w:r>
      <w:r>
        <w:rPr>
          <w:rFonts w:eastAsia="方正小标宋简体"/>
          <w:sz w:val="42"/>
          <w:szCs w:val="42"/>
        </w:rPr>
        <w:t>KJ201901</w:t>
      </w:r>
      <w:r>
        <w:rPr>
          <w:rFonts w:eastAsia="方正小标宋简体"/>
          <w:sz w:val="42"/>
          <w:szCs w:val="42"/>
        </w:rPr>
        <w:t>）</w:t>
      </w:r>
    </w:p>
    <w:p w:rsidR="009E517D" w:rsidRDefault="009E517D">
      <w:pPr>
        <w:tabs>
          <w:tab w:val="left" w:pos="2655"/>
        </w:tabs>
        <w:spacing w:line="560" w:lineRule="exact"/>
        <w:jc w:val="center"/>
        <w:rPr>
          <w:rFonts w:eastAsia="方正小标宋简体"/>
          <w:kern w:val="0"/>
          <w:sz w:val="44"/>
          <w:szCs w:val="44"/>
        </w:rPr>
      </w:pPr>
    </w:p>
    <w:p w:rsidR="009E517D" w:rsidRDefault="000614CB">
      <w:pPr>
        <w:pStyle w:val="ad"/>
        <w:numPr>
          <w:ilvl w:val="0"/>
          <w:numId w:val="3"/>
        </w:numPr>
        <w:tabs>
          <w:tab w:val="right" w:leader="dot" w:pos="8844"/>
        </w:tabs>
        <w:spacing w:beforeLines="50" w:before="156" w:afterLines="50" w:after="156"/>
        <w:outlineLvl w:val="9"/>
        <w:rPr>
          <w:rFonts w:ascii="Times New Roman"/>
          <w:szCs w:val="22"/>
        </w:rPr>
      </w:pPr>
      <w:r>
        <w:rPr>
          <w:rFonts w:ascii="Times New Roman"/>
          <w:szCs w:val="22"/>
        </w:rPr>
        <w:t>范围</w:t>
      </w:r>
      <w:bookmarkEnd w:id="0"/>
    </w:p>
    <w:p w:rsidR="009E517D" w:rsidRDefault="000614CB">
      <w:pPr>
        <w:ind w:firstLineChars="200" w:firstLine="420"/>
        <w:rPr>
          <w:szCs w:val="21"/>
        </w:rPr>
      </w:pPr>
      <w:r>
        <w:rPr>
          <w:szCs w:val="21"/>
        </w:rPr>
        <w:t>本方法规定了保健食品中西地那非和他</w:t>
      </w:r>
      <w:proofErr w:type="gramStart"/>
      <w:r>
        <w:rPr>
          <w:szCs w:val="21"/>
        </w:rPr>
        <w:t>达拉非的</w:t>
      </w:r>
      <w:proofErr w:type="gramEnd"/>
      <w:r>
        <w:rPr>
          <w:szCs w:val="21"/>
        </w:rPr>
        <w:t>胶体金免疫层析快速筛查方法。</w:t>
      </w:r>
    </w:p>
    <w:p w:rsidR="009E517D" w:rsidRDefault="000614CB">
      <w:pPr>
        <w:ind w:firstLineChars="200" w:firstLine="420"/>
        <w:rPr>
          <w:szCs w:val="21"/>
        </w:rPr>
      </w:pPr>
      <w:r>
        <w:rPr>
          <w:szCs w:val="21"/>
        </w:rPr>
        <w:t>本方法适用于声称具有抗疲劳、调节免疫等功能的保健食品中西地那非和他</w:t>
      </w:r>
      <w:proofErr w:type="gramStart"/>
      <w:r>
        <w:rPr>
          <w:szCs w:val="21"/>
        </w:rPr>
        <w:t>达拉非成分</w:t>
      </w:r>
      <w:proofErr w:type="gramEnd"/>
      <w:r>
        <w:rPr>
          <w:szCs w:val="21"/>
        </w:rPr>
        <w:t>的快速筛查。</w:t>
      </w:r>
    </w:p>
    <w:p w:rsidR="009E517D" w:rsidRDefault="000614CB">
      <w:pPr>
        <w:pStyle w:val="ad"/>
        <w:numPr>
          <w:ilvl w:val="0"/>
          <w:numId w:val="3"/>
        </w:numPr>
        <w:tabs>
          <w:tab w:val="right" w:leader="dot" w:pos="8844"/>
        </w:tabs>
        <w:spacing w:beforeLines="50" w:before="156" w:afterLines="50" w:after="156"/>
        <w:outlineLvl w:val="0"/>
        <w:rPr>
          <w:rFonts w:ascii="Times New Roman"/>
          <w:szCs w:val="22"/>
        </w:rPr>
      </w:pPr>
      <w:bookmarkStart w:id="2" w:name="_Toc9591_WPSOffice_Level1"/>
      <w:r>
        <w:rPr>
          <w:rFonts w:ascii="Times New Roman"/>
          <w:szCs w:val="22"/>
        </w:rPr>
        <w:t>原理</w:t>
      </w:r>
      <w:bookmarkEnd w:id="2"/>
    </w:p>
    <w:p w:rsidR="009E517D" w:rsidRDefault="000614CB">
      <w:pPr>
        <w:widowControl/>
        <w:tabs>
          <w:tab w:val="center" w:pos="4201"/>
          <w:tab w:val="right" w:leader="dot" w:pos="9298"/>
        </w:tabs>
        <w:autoSpaceDE w:val="0"/>
        <w:autoSpaceDN w:val="0"/>
        <w:ind w:firstLineChars="200" w:firstLine="420"/>
        <w:rPr>
          <w:kern w:val="0"/>
          <w:szCs w:val="21"/>
        </w:rPr>
      </w:pPr>
      <w:bookmarkStart w:id="3" w:name="OLE_LINK2"/>
      <w:bookmarkStart w:id="4" w:name="OLE_LINK1"/>
      <w:r>
        <w:rPr>
          <w:szCs w:val="21"/>
        </w:rPr>
        <w:t>本方法采用竞争抑制免疫层析原理。</w:t>
      </w:r>
      <w:r>
        <w:rPr>
          <w:kern w:val="0"/>
          <w:szCs w:val="21"/>
        </w:rPr>
        <w:t>样品中的</w:t>
      </w:r>
      <w:r>
        <w:rPr>
          <w:szCs w:val="21"/>
        </w:rPr>
        <w:t>西地那非和他达拉非</w:t>
      </w:r>
      <w:r>
        <w:rPr>
          <w:kern w:val="0"/>
          <w:szCs w:val="21"/>
        </w:rPr>
        <w:t>等物质经提取后与胶体金标记的特异性抗体结合，抑制抗体和试纸条或检测卡中检测线（</w:t>
      </w:r>
      <w:r>
        <w:rPr>
          <w:kern w:val="0"/>
          <w:szCs w:val="21"/>
        </w:rPr>
        <w:t>T</w:t>
      </w:r>
      <w:r>
        <w:rPr>
          <w:kern w:val="0"/>
          <w:szCs w:val="21"/>
        </w:rPr>
        <w:t>线）上抗原的结合，从而导致检测线颜色深浅的变化。通过检测线与控制线（</w:t>
      </w:r>
      <w:r>
        <w:rPr>
          <w:kern w:val="0"/>
          <w:szCs w:val="21"/>
        </w:rPr>
        <w:t>C</w:t>
      </w:r>
      <w:r>
        <w:rPr>
          <w:kern w:val="0"/>
          <w:szCs w:val="21"/>
        </w:rPr>
        <w:t>线）颜色深浅比较，对样品中</w:t>
      </w:r>
      <w:r>
        <w:rPr>
          <w:szCs w:val="21"/>
        </w:rPr>
        <w:t>西地那非和他</w:t>
      </w:r>
      <w:proofErr w:type="gramStart"/>
      <w:r>
        <w:rPr>
          <w:szCs w:val="21"/>
        </w:rPr>
        <w:t>达拉非</w:t>
      </w:r>
      <w:r>
        <w:rPr>
          <w:kern w:val="0"/>
          <w:szCs w:val="21"/>
        </w:rPr>
        <w:t>成分</w:t>
      </w:r>
      <w:proofErr w:type="gramEnd"/>
      <w:r>
        <w:rPr>
          <w:kern w:val="0"/>
          <w:szCs w:val="21"/>
        </w:rPr>
        <w:t>进行定性判定。</w:t>
      </w:r>
    </w:p>
    <w:p w:rsidR="009E517D" w:rsidRDefault="000614CB">
      <w:pPr>
        <w:pStyle w:val="ad"/>
        <w:numPr>
          <w:ilvl w:val="0"/>
          <w:numId w:val="3"/>
        </w:numPr>
        <w:tabs>
          <w:tab w:val="right" w:leader="dot" w:pos="8844"/>
        </w:tabs>
        <w:spacing w:beforeLines="50" w:before="156" w:afterLines="50" w:after="156"/>
        <w:outlineLvl w:val="0"/>
        <w:rPr>
          <w:rFonts w:ascii="Times New Roman"/>
          <w:szCs w:val="22"/>
        </w:rPr>
      </w:pPr>
      <w:bookmarkStart w:id="5" w:name="_Toc25667_WPSOffice_Level1"/>
      <w:bookmarkEnd w:id="3"/>
      <w:bookmarkEnd w:id="4"/>
      <w:r>
        <w:rPr>
          <w:rFonts w:ascii="Times New Roman"/>
          <w:szCs w:val="22"/>
        </w:rPr>
        <w:t>试剂材料</w:t>
      </w:r>
      <w:bookmarkEnd w:id="5"/>
    </w:p>
    <w:p w:rsidR="009E517D" w:rsidRDefault="000614CB">
      <w:pPr>
        <w:pStyle w:val="a"/>
        <w:numPr>
          <w:ilvl w:val="1"/>
          <w:numId w:val="3"/>
        </w:numPr>
        <w:spacing w:before="156" w:after="156"/>
        <w:ind w:left="0"/>
        <w:outlineLvl w:val="1"/>
        <w:rPr>
          <w:rFonts w:ascii="Times New Roman"/>
        </w:rPr>
      </w:pPr>
      <w:bookmarkStart w:id="6" w:name="_Toc11156_WPSOffice_Level1"/>
      <w:bookmarkStart w:id="7" w:name="_Toc9913_WPSOffice_Level1"/>
      <w:bookmarkStart w:id="8" w:name="_Toc27435_WPSOffice_Level1"/>
      <w:r>
        <w:rPr>
          <w:rFonts w:ascii="Times New Roman"/>
        </w:rPr>
        <w:t>试剂</w:t>
      </w:r>
      <w:bookmarkEnd w:id="6"/>
      <w:bookmarkEnd w:id="7"/>
      <w:bookmarkEnd w:id="8"/>
    </w:p>
    <w:p w:rsidR="009E517D" w:rsidRDefault="000614CB">
      <w:pPr>
        <w:ind w:firstLineChars="200" w:firstLine="420"/>
        <w:rPr>
          <w:szCs w:val="21"/>
        </w:rPr>
      </w:pPr>
      <w:r>
        <w:rPr>
          <w:szCs w:val="21"/>
        </w:rPr>
        <w:t>除另有规定外，本方法所用试剂均为分析纯，水为</w:t>
      </w:r>
      <w:r>
        <w:rPr>
          <w:szCs w:val="21"/>
        </w:rPr>
        <w:t>GB/T 6682</w:t>
      </w:r>
      <w:r>
        <w:rPr>
          <w:szCs w:val="21"/>
        </w:rPr>
        <w:t>规定的二级水。</w:t>
      </w:r>
    </w:p>
    <w:p w:rsidR="009E517D" w:rsidRDefault="000614CB">
      <w:pPr>
        <w:pStyle w:val="a0"/>
        <w:numPr>
          <w:ilvl w:val="2"/>
          <w:numId w:val="3"/>
        </w:numPr>
        <w:spacing w:beforeLines="0" w:before="0" w:afterLines="0" w:after="0"/>
        <w:ind w:left="0" w:firstLine="0"/>
        <w:outlineLvl w:val="9"/>
        <w:rPr>
          <w:rFonts w:ascii="Times New Roman"/>
          <w:szCs w:val="22"/>
        </w:rPr>
      </w:pPr>
      <w:r>
        <w:rPr>
          <w:rFonts w:ascii="Times New Roman" w:eastAsia="宋体"/>
          <w:szCs w:val="22"/>
        </w:rPr>
        <w:t>甲醇：色谱纯。</w:t>
      </w:r>
    </w:p>
    <w:p w:rsidR="009E517D" w:rsidRDefault="000614CB">
      <w:pPr>
        <w:pStyle w:val="a0"/>
        <w:numPr>
          <w:ilvl w:val="2"/>
          <w:numId w:val="3"/>
        </w:numPr>
        <w:spacing w:beforeLines="0" w:before="0" w:afterLines="0" w:after="0"/>
        <w:ind w:left="0" w:firstLine="0"/>
        <w:outlineLvl w:val="9"/>
        <w:rPr>
          <w:rFonts w:ascii="Times New Roman" w:eastAsia="宋体"/>
          <w:szCs w:val="22"/>
        </w:rPr>
      </w:pPr>
      <w:r>
        <w:rPr>
          <w:rFonts w:ascii="Times New Roman" w:eastAsia="宋体"/>
          <w:szCs w:val="22"/>
        </w:rPr>
        <w:t>三羟甲基氨基甲烷，</w:t>
      </w:r>
      <w:proofErr w:type="spellStart"/>
      <w:r>
        <w:rPr>
          <w:rFonts w:ascii="Times New Roman" w:eastAsia="宋体"/>
          <w:szCs w:val="22"/>
        </w:rPr>
        <w:t>Tris</w:t>
      </w:r>
      <w:proofErr w:type="spellEnd"/>
      <w:r>
        <w:rPr>
          <w:rFonts w:ascii="Times New Roman" w:eastAsia="宋体"/>
          <w:szCs w:val="22"/>
        </w:rPr>
        <w:t>碱。</w:t>
      </w:r>
    </w:p>
    <w:p w:rsidR="009E517D" w:rsidRDefault="000614CB">
      <w:pPr>
        <w:pStyle w:val="a0"/>
        <w:numPr>
          <w:ilvl w:val="2"/>
          <w:numId w:val="3"/>
        </w:numPr>
        <w:spacing w:beforeLines="0" w:before="0" w:afterLines="0" w:after="0"/>
        <w:ind w:left="0" w:firstLine="0"/>
        <w:outlineLvl w:val="9"/>
        <w:rPr>
          <w:rFonts w:ascii="Times New Roman" w:eastAsia="宋体"/>
          <w:szCs w:val="22"/>
        </w:rPr>
      </w:pPr>
      <w:r>
        <w:rPr>
          <w:rFonts w:ascii="Times New Roman" w:eastAsia="宋体"/>
          <w:szCs w:val="22"/>
        </w:rPr>
        <w:t>浓盐酸。</w:t>
      </w:r>
    </w:p>
    <w:p w:rsidR="009E517D" w:rsidRDefault="000614CB">
      <w:pPr>
        <w:pStyle w:val="a0"/>
        <w:numPr>
          <w:ilvl w:val="2"/>
          <w:numId w:val="3"/>
        </w:numPr>
        <w:spacing w:beforeLines="0" w:before="0" w:afterLines="0" w:after="0"/>
        <w:ind w:left="0" w:firstLine="0"/>
        <w:outlineLvl w:val="9"/>
        <w:rPr>
          <w:rFonts w:ascii="Times New Roman" w:eastAsia="宋体"/>
          <w:szCs w:val="22"/>
        </w:rPr>
      </w:pPr>
      <w:r>
        <w:rPr>
          <w:rFonts w:ascii="Times New Roman" w:eastAsia="宋体"/>
          <w:szCs w:val="22"/>
        </w:rPr>
        <w:t>吐温</w:t>
      </w:r>
      <w:r>
        <w:rPr>
          <w:rFonts w:ascii="Times New Roman" w:eastAsia="宋体"/>
          <w:szCs w:val="22"/>
        </w:rPr>
        <w:t>-20</w:t>
      </w:r>
      <w:r>
        <w:rPr>
          <w:rFonts w:ascii="Times New Roman" w:eastAsia="宋体"/>
          <w:szCs w:val="22"/>
        </w:rPr>
        <w:t>。</w:t>
      </w:r>
    </w:p>
    <w:p w:rsidR="009E517D" w:rsidRDefault="000614CB">
      <w:pPr>
        <w:pStyle w:val="a0"/>
        <w:numPr>
          <w:ilvl w:val="2"/>
          <w:numId w:val="3"/>
        </w:numPr>
        <w:spacing w:beforeLines="0" w:before="0" w:afterLines="0" w:after="0"/>
        <w:ind w:left="0" w:firstLine="0"/>
        <w:outlineLvl w:val="9"/>
        <w:rPr>
          <w:rFonts w:ascii="Times New Roman" w:eastAsia="宋体"/>
          <w:szCs w:val="22"/>
        </w:rPr>
      </w:pPr>
      <w:r>
        <w:rPr>
          <w:rFonts w:ascii="Times New Roman" w:eastAsia="宋体"/>
          <w:szCs w:val="22"/>
        </w:rPr>
        <w:t>盐酸溶液：量取浓盐酸（</w:t>
      </w:r>
      <w:r>
        <w:rPr>
          <w:rFonts w:ascii="Times New Roman" w:eastAsia="宋体"/>
          <w:szCs w:val="22"/>
        </w:rPr>
        <w:t>3.1.3</w:t>
      </w:r>
      <w:r>
        <w:rPr>
          <w:rFonts w:ascii="Times New Roman" w:eastAsia="宋体"/>
          <w:szCs w:val="22"/>
        </w:rPr>
        <w:t>）</w:t>
      </w:r>
      <w:r>
        <w:rPr>
          <w:rFonts w:ascii="Times New Roman" w:eastAsia="宋体"/>
          <w:szCs w:val="22"/>
        </w:rPr>
        <w:t>16.7 mL</w:t>
      </w:r>
      <w:r>
        <w:rPr>
          <w:rFonts w:ascii="Times New Roman" w:eastAsia="宋体"/>
          <w:szCs w:val="22"/>
        </w:rPr>
        <w:t>，用水溶解并稀释至</w:t>
      </w:r>
      <w:r>
        <w:rPr>
          <w:rFonts w:ascii="Times New Roman" w:eastAsia="宋体"/>
          <w:szCs w:val="22"/>
        </w:rPr>
        <w:t>100 mL</w:t>
      </w:r>
      <w:r>
        <w:rPr>
          <w:rFonts w:ascii="Times New Roman" w:eastAsia="宋体"/>
          <w:szCs w:val="22"/>
        </w:rPr>
        <w:t>。</w:t>
      </w:r>
    </w:p>
    <w:p w:rsidR="009E517D" w:rsidRDefault="000614CB">
      <w:pPr>
        <w:pStyle w:val="a0"/>
        <w:numPr>
          <w:ilvl w:val="2"/>
          <w:numId w:val="3"/>
        </w:numPr>
        <w:spacing w:beforeLines="0" w:before="0" w:afterLines="0" w:after="0"/>
        <w:ind w:left="0" w:firstLine="0"/>
        <w:outlineLvl w:val="9"/>
        <w:rPr>
          <w:rFonts w:ascii="Times New Roman" w:eastAsia="宋体"/>
          <w:szCs w:val="22"/>
        </w:rPr>
      </w:pPr>
      <w:r>
        <w:rPr>
          <w:rFonts w:ascii="Times New Roman" w:eastAsia="宋体"/>
          <w:szCs w:val="22"/>
        </w:rPr>
        <w:t>缓冲液：称取</w:t>
      </w:r>
      <w:r>
        <w:rPr>
          <w:rFonts w:ascii="Times New Roman" w:eastAsia="宋体"/>
          <w:szCs w:val="22"/>
        </w:rPr>
        <w:t xml:space="preserve">12.1 g </w:t>
      </w:r>
      <w:proofErr w:type="spellStart"/>
      <w:r>
        <w:rPr>
          <w:rFonts w:ascii="Times New Roman" w:eastAsia="宋体"/>
          <w:szCs w:val="22"/>
        </w:rPr>
        <w:t>Tris</w:t>
      </w:r>
      <w:proofErr w:type="spellEnd"/>
      <w:r>
        <w:rPr>
          <w:rFonts w:ascii="Times New Roman" w:eastAsia="宋体"/>
          <w:szCs w:val="22"/>
        </w:rPr>
        <w:t>碱（</w:t>
      </w:r>
      <w:r>
        <w:rPr>
          <w:rFonts w:ascii="Times New Roman" w:eastAsia="宋体"/>
          <w:szCs w:val="22"/>
        </w:rPr>
        <w:t>3.1.2</w:t>
      </w:r>
      <w:r>
        <w:rPr>
          <w:rFonts w:ascii="Times New Roman" w:eastAsia="宋体"/>
          <w:szCs w:val="22"/>
        </w:rPr>
        <w:t>），加适量水溶解，混匀，用盐酸溶液（</w:t>
      </w:r>
      <w:r>
        <w:rPr>
          <w:rFonts w:ascii="Times New Roman" w:eastAsia="宋体"/>
          <w:szCs w:val="22"/>
        </w:rPr>
        <w:t>3.1.5</w:t>
      </w:r>
      <w:r>
        <w:rPr>
          <w:rFonts w:ascii="Times New Roman" w:eastAsia="宋体"/>
          <w:szCs w:val="22"/>
        </w:rPr>
        <w:t>）调节</w:t>
      </w:r>
      <w:r>
        <w:rPr>
          <w:rFonts w:ascii="Times New Roman" w:eastAsia="宋体"/>
          <w:szCs w:val="22"/>
        </w:rPr>
        <w:t>pH</w:t>
      </w:r>
      <w:r>
        <w:rPr>
          <w:rFonts w:ascii="Times New Roman" w:eastAsia="宋体"/>
          <w:szCs w:val="22"/>
        </w:rPr>
        <w:t>至</w:t>
      </w:r>
      <w:r>
        <w:rPr>
          <w:rFonts w:ascii="Times New Roman" w:eastAsia="宋体"/>
          <w:szCs w:val="22"/>
        </w:rPr>
        <w:t>8.0</w:t>
      </w:r>
      <w:r>
        <w:rPr>
          <w:rFonts w:ascii="Times New Roman" w:eastAsia="宋体"/>
          <w:szCs w:val="22"/>
        </w:rPr>
        <w:t>，加入</w:t>
      </w:r>
      <w:r>
        <w:rPr>
          <w:rFonts w:ascii="Times New Roman" w:eastAsia="宋体"/>
          <w:szCs w:val="22"/>
        </w:rPr>
        <w:t>5.0 g</w:t>
      </w:r>
      <w:r>
        <w:rPr>
          <w:rFonts w:ascii="Times New Roman" w:eastAsia="宋体"/>
          <w:szCs w:val="22"/>
        </w:rPr>
        <w:t>吐温</w:t>
      </w:r>
      <w:r>
        <w:rPr>
          <w:rFonts w:ascii="Times New Roman" w:eastAsia="宋体"/>
          <w:szCs w:val="22"/>
        </w:rPr>
        <w:t>-20</w:t>
      </w:r>
      <w:r>
        <w:rPr>
          <w:rFonts w:ascii="Times New Roman" w:eastAsia="宋体"/>
          <w:szCs w:val="22"/>
        </w:rPr>
        <w:t>（</w:t>
      </w:r>
      <w:r>
        <w:rPr>
          <w:rFonts w:ascii="Times New Roman" w:eastAsia="宋体"/>
          <w:szCs w:val="22"/>
        </w:rPr>
        <w:t>3.1.4</w:t>
      </w:r>
      <w:r>
        <w:rPr>
          <w:rFonts w:ascii="Times New Roman" w:eastAsia="宋体"/>
          <w:szCs w:val="22"/>
        </w:rPr>
        <w:t>）搅拌均匀，</w:t>
      </w:r>
      <w:proofErr w:type="gramStart"/>
      <w:r>
        <w:rPr>
          <w:rFonts w:ascii="Times New Roman" w:eastAsia="宋体"/>
          <w:szCs w:val="22"/>
        </w:rPr>
        <w:t>定容至</w:t>
      </w:r>
      <w:proofErr w:type="gramEnd"/>
      <w:r>
        <w:rPr>
          <w:rFonts w:ascii="Times New Roman" w:eastAsia="宋体"/>
          <w:szCs w:val="22"/>
        </w:rPr>
        <w:t>1000 mL</w:t>
      </w:r>
      <w:r>
        <w:rPr>
          <w:rFonts w:ascii="Times New Roman" w:eastAsia="宋体"/>
          <w:szCs w:val="22"/>
        </w:rPr>
        <w:t>。</w:t>
      </w:r>
    </w:p>
    <w:p w:rsidR="009E517D" w:rsidRDefault="000614CB">
      <w:pPr>
        <w:pStyle w:val="a"/>
        <w:numPr>
          <w:ilvl w:val="1"/>
          <w:numId w:val="3"/>
        </w:numPr>
        <w:spacing w:before="156" w:after="156"/>
        <w:ind w:left="0"/>
        <w:outlineLvl w:val="1"/>
        <w:rPr>
          <w:rFonts w:ascii="Times New Roman"/>
        </w:rPr>
      </w:pPr>
      <w:bookmarkStart w:id="9" w:name="_Toc535_WPSOffice_Level1"/>
      <w:bookmarkStart w:id="10" w:name="_Toc32383_WPSOffice_Level1"/>
      <w:bookmarkStart w:id="11" w:name="_Toc28390_WPSOffice_Level1"/>
      <w:r>
        <w:rPr>
          <w:rFonts w:ascii="Times New Roman"/>
        </w:rPr>
        <w:t>参考物质</w:t>
      </w:r>
      <w:bookmarkEnd w:id="9"/>
      <w:bookmarkEnd w:id="10"/>
      <w:bookmarkEnd w:id="11"/>
    </w:p>
    <w:p w:rsidR="009E517D" w:rsidRDefault="000614CB">
      <w:pPr>
        <w:ind w:firstLineChars="200" w:firstLine="420"/>
        <w:rPr>
          <w:szCs w:val="21"/>
        </w:rPr>
      </w:pPr>
      <w:r>
        <w:rPr>
          <w:szCs w:val="21"/>
        </w:rPr>
        <w:t>参考物质的中文名称、英文名称、</w:t>
      </w:r>
      <w:r>
        <w:rPr>
          <w:szCs w:val="21"/>
        </w:rPr>
        <w:t>CAS</w:t>
      </w:r>
      <w:r>
        <w:rPr>
          <w:szCs w:val="21"/>
        </w:rPr>
        <w:t>登录号、分子式、相对分子量见表</w:t>
      </w:r>
      <w:r>
        <w:rPr>
          <w:szCs w:val="21"/>
        </w:rPr>
        <w:t>1</w:t>
      </w:r>
      <w:r>
        <w:rPr>
          <w:szCs w:val="21"/>
        </w:rPr>
        <w:t>，纯度均</w:t>
      </w:r>
      <w:r>
        <w:rPr>
          <w:rFonts w:ascii="宋体" w:hAnsi="宋体" w:cs="宋体" w:hint="eastAsia"/>
          <w:szCs w:val="21"/>
        </w:rPr>
        <w:t>≥</w:t>
      </w:r>
      <w:r>
        <w:rPr>
          <w:szCs w:val="21"/>
        </w:rPr>
        <w:t>99%</w:t>
      </w:r>
      <w:r>
        <w:rPr>
          <w:szCs w:val="21"/>
        </w:rPr>
        <w:t>。</w:t>
      </w:r>
    </w:p>
    <w:p w:rsidR="009E517D" w:rsidRDefault="000614CB">
      <w:pPr>
        <w:tabs>
          <w:tab w:val="left" w:pos="360"/>
        </w:tabs>
        <w:ind w:firstLineChars="1700" w:firstLine="3570"/>
        <w:outlineLvl w:val="2"/>
        <w:rPr>
          <w:rFonts w:eastAsia="黑体"/>
          <w:szCs w:val="21"/>
        </w:rPr>
      </w:pPr>
      <w:r>
        <w:rPr>
          <w:rFonts w:eastAsia="黑体"/>
          <w:szCs w:val="21"/>
        </w:rPr>
        <w:t>表</w:t>
      </w:r>
      <w:r>
        <w:rPr>
          <w:rFonts w:eastAsia="黑体"/>
          <w:szCs w:val="21"/>
        </w:rPr>
        <w:t xml:space="preserve">1 </w:t>
      </w:r>
      <w:r>
        <w:rPr>
          <w:rFonts w:eastAsia="黑体"/>
          <w:szCs w:val="21"/>
        </w:rPr>
        <w:t>参考物质信息表</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8"/>
        <w:gridCol w:w="1904"/>
        <w:gridCol w:w="2284"/>
        <w:gridCol w:w="1362"/>
        <w:gridCol w:w="1500"/>
        <w:gridCol w:w="1322"/>
      </w:tblGrid>
      <w:tr w:rsidR="009E517D">
        <w:trPr>
          <w:trHeight w:hRule="exact" w:val="454"/>
          <w:tblHeader/>
          <w:jc w:val="center"/>
        </w:trPr>
        <w:tc>
          <w:tcPr>
            <w:tcW w:w="688" w:type="dxa"/>
            <w:tcMar>
              <w:top w:w="0" w:type="dxa"/>
              <w:left w:w="108" w:type="dxa"/>
              <w:bottom w:w="0" w:type="dxa"/>
              <w:right w:w="108" w:type="dxa"/>
            </w:tcMar>
            <w:vAlign w:val="center"/>
          </w:tcPr>
          <w:p w:rsidR="009E517D" w:rsidRDefault="000614CB">
            <w:pPr>
              <w:autoSpaceDE w:val="0"/>
              <w:autoSpaceDN w:val="0"/>
              <w:jc w:val="center"/>
              <w:textAlignment w:val="bottom"/>
              <w:rPr>
                <w:sz w:val="18"/>
                <w:szCs w:val="18"/>
              </w:rPr>
            </w:pPr>
            <w:r>
              <w:rPr>
                <w:sz w:val="18"/>
                <w:szCs w:val="18"/>
              </w:rPr>
              <w:t>序号</w:t>
            </w:r>
          </w:p>
        </w:tc>
        <w:tc>
          <w:tcPr>
            <w:tcW w:w="1904" w:type="dxa"/>
            <w:tcMar>
              <w:top w:w="0" w:type="dxa"/>
              <w:left w:w="108" w:type="dxa"/>
              <w:bottom w:w="0" w:type="dxa"/>
              <w:right w:w="108" w:type="dxa"/>
            </w:tcMar>
            <w:vAlign w:val="center"/>
          </w:tcPr>
          <w:p w:rsidR="009E517D" w:rsidRDefault="000614CB">
            <w:pPr>
              <w:autoSpaceDE w:val="0"/>
              <w:autoSpaceDN w:val="0"/>
              <w:jc w:val="center"/>
              <w:textAlignment w:val="bottom"/>
              <w:rPr>
                <w:sz w:val="18"/>
                <w:szCs w:val="18"/>
              </w:rPr>
            </w:pPr>
            <w:r>
              <w:rPr>
                <w:sz w:val="18"/>
                <w:szCs w:val="18"/>
              </w:rPr>
              <w:t>中文名称</w:t>
            </w:r>
          </w:p>
        </w:tc>
        <w:tc>
          <w:tcPr>
            <w:tcW w:w="2284" w:type="dxa"/>
            <w:tcMar>
              <w:top w:w="0" w:type="dxa"/>
              <w:left w:w="108" w:type="dxa"/>
              <w:bottom w:w="0" w:type="dxa"/>
              <w:right w:w="108" w:type="dxa"/>
            </w:tcMar>
            <w:vAlign w:val="center"/>
          </w:tcPr>
          <w:p w:rsidR="009E517D" w:rsidRDefault="000614CB">
            <w:pPr>
              <w:autoSpaceDE w:val="0"/>
              <w:autoSpaceDN w:val="0"/>
              <w:jc w:val="center"/>
              <w:textAlignment w:val="bottom"/>
              <w:rPr>
                <w:sz w:val="18"/>
                <w:szCs w:val="18"/>
              </w:rPr>
            </w:pPr>
            <w:r>
              <w:rPr>
                <w:sz w:val="18"/>
                <w:szCs w:val="18"/>
              </w:rPr>
              <w:t>英文名称</w:t>
            </w:r>
          </w:p>
        </w:tc>
        <w:tc>
          <w:tcPr>
            <w:tcW w:w="1362" w:type="dxa"/>
            <w:tcMar>
              <w:top w:w="0" w:type="dxa"/>
              <w:left w:w="108" w:type="dxa"/>
              <w:bottom w:w="0" w:type="dxa"/>
              <w:right w:w="108" w:type="dxa"/>
            </w:tcMar>
            <w:vAlign w:val="center"/>
          </w:tcPr>
          <w:p w:rsidR="009E517D" w:rsidRDefault="000614CB">
            <w:pPr>
              <w:autoSpaceDE w:val="0"/>
              <w:autoSpaceDN w:val="0"/>
              <w:jc w:val="center"/>
              <w:textAlignment w:val="bottom"/>
              <w:rPr>
                <w:sz w:val="18"/>
                <w:szCs w:val="18"/>
              </w:rPr>
            </w:pPr>
            <w:r>
              <w:rPr>
                <w:sz w:val="18"/>
                <w:szCs w:val="18"/>
              </w:rPr>
              <w:t>CAS</w:t>
            </w:r>
            <w:r>
              <w:rPr>
                <w:sz w:val="18"/>
                <w:szCs w:val="18"/>
              </w:rPr>
              <w:t>登录号</w:t>
            </w:r>
          </w:p>
        </w:tc>
        <w:tc>
          <w:tcPr>
            <w:tcW w:w="1500" w:type="dxa"/>
            <w:tcMar>
              <w:top w:w="0" w:type="dxa"/>
              <w:left w:w="108" w:type="dxa"/>
              <w:bottom w:w="0" w:type="dxa"/>
              <w:right w:w="108" w:type="dxa"/>
            </w:tcMar>
            <w:vAlign w:val="center"/>
          </w:tcPr>
          <w:p w:rsidR="009E517D" w:rsidRDefault="000614CB">
            <w:pPr>
              <w:autoSpaceDE w:val="0"/>
              <w:autoSpaceDN w:val="0"/>
              <w:jc w:val="center"/>
              <w:textAlignment w:val="bottom"/>
              <w:rPr>
                <w:sz w:val="18"/>
                <w:szCs w:val="18"/>
              </w:rPr>
            </w:pPr>
            <w:r>
              <w:rPr>
                <w:sz w:val="18"/>
                <w:szCs w:val="18"/>
              </w:rPr>
              <w:t>分子式</w:t>
            </w:r>
          </w:p>
        </w:tc>
        <w:tc>
          <w:tcPr>
            <w:tcW w:w="1322" w:type="dxa"/>
            <w:tcMar>
              <w:top w:w="0" w:type="dxa"/>
              <w:left w:w="108" w:type="dxa"/>
              <w:bottom w:w="0" w:type="dxa"/>
              <w:right w:w="108" w:type="dxa"/>
            </w:tcMar>
            <w:vAlign w:val="center"/>
          </w:tcPr>
          <w:p w:rsidR="009E517D" w:rsidRDefault="000614CB">
            <w:pPr>
              <w:autoSpaceDE w:val="0"/>
              <w:autoSpaceDN w:val="0"/>
              <w:jc w:val="center"/>
              <w:textAlignment w:val="bottom"/>
              <w:rPr>
                <w:sz w:val="18"/>
                <w:szCs w:val="18"/>
              </w:rPr>
            </w:pPr>
            <w:r>
              <w:rPr>
                <w:sz w:val="18"/>
                <w:szCs w:val="18"/>
              </w:rPr>
              <w:t>相对分子量</w:t>
            </w:r>
          </w:p>
        </w:tc>
      </w:tr>
      <w:tr w:rsidR="009E517D">
        <w:trPr>
          <w:trHeight w:hRule="exact" w:val="454"/>
          <w:jc w:val="center"/>
        </w:trPr>
        <w:tc>
          <w:tcPr>
            <w:tcW w:w="688" w:type="dxa"/>
            <w:tcMar>
              <w:top w:w="0" w:type="dxa"/>
              <w:left w:w="108" w:type="dxa"/>
              <w:bottom w:w="0" w:type="dxa"/>
              <w:right w:w="108" w:type="dxa"/>
            </w:tcMar>
            <w:vAlign w:val="center"/>
          </w:tcPr>
          <w:p w:rsidR="009E517D" w:rsidRDefault="000614CB">
            <w:pPr>
              <w:autoSpaceDE w:val="0"/>
              <w:autoSpaceDN w:val="0"/>
              <w:jc w:val="center"/>
              <w:textAlignment w:val="bottom"/>
              <w:rPr>
                <w:sz w:val="18"/>
                <w:szCs w:val="18"/>
              </w:rPr>
            </w:pPr>
            <w:r>
              <w:rPr>
                <w:sz w:val="18"/>
                <w:szCs w:val="18"/>
              </w:rPr>
              <w:t>1</w:t>
            </w:r>
          </w:p>
        </w:tc>
        <w:tc>
          <w:tcPr>
            <w:tcW w:w="1904" w:type="dxa"/>
            <w:tcMar>
              <w:top w:w="0" w:type="dxa"/>
              <w:left w:w="108" w:type="dxa"/>
              <w:bottom w:w="0" w:type="dxa"/>
              <w:right w:w="108" w:type="dxa"/>
            </w:tcMar>
            <w:vAlign w:val="center"/>
          </w:tcPr>
          <w:p w:rsidR="009E517D" w:rsidRDefault="000614CB">
            <w:pPr>
              <w:autoSpaceDE w:val="0"/>
              <w:autoSpaceDN w:val="0"/>
              <w:jc w:val="center"/>
              <w:textAlignment w:val="bottom"/>
              <w:rPr>
                <w:sz w:val="18"/>
                <w:szCs w:val="18"/>
              </w:rPr>
            </w:pPr>
            <w:r>
              <w:rPr>
                <w:sz w:val="18"/>
                <w:szCs w:val="18"/>
              </w:rPr>
              <w:t>西地那非</w:t>
            </w:r>
          </w:p>
        </w:tc>
        <w:tc>
          <w:tcPr>
            <w:tcW w:w="2284" w:type="dxa"/>
            <w:tcMar>
              <w:top w:w="0" w:type="dxa"/>
              <w:left w:w="108" w:type="dxa"/>
              <w:bottom w:w="0" w:type="dxa"/>
              <w:right w:w="108" w:type="dxa"/>
            </w:tcMar>
            <w:vAlign w:val="center"/>
          </w:tcPr>
          <w:p w:rsidR="009E517D" w:rsidRDefault="000614CB">
            <w:pPr>
              <w:autoSpaceDE w:val="0"/>
              <w:autoSpaceDN w:val="0"/>
              <w:jc w:val="center"/>
              <w:textAlignment w:val="bottom"/>
              <w:rPr>
                <w:sz w:val="18"/>
                <w:szCs w:val="18"/>
              </w:rPr>
            </w:pPr>
            <w:r>
              <w:rPr>
                <w:sz w:val="18"/>
                <w:szCs w:val="18"/>
              </w:rPr>
              <w:t>Sildenafil</w:t>
            </w:r>
          </w:p>
        </w:tc>
        <w:tc>
          <w:tcPr>
            <w:tcW w:w="1362" w:type="dxa"/>
            <w:tcMar>
              <w:top w:w="0" w:type="dxa"/>
              <w:left w:w="108" w:type="dxa"/>
              <w:bottom w:w="0" w:type="dxa"/>
              <w:right w:w="108" w:type="dxa"/>
            </w:tcMar>
            <w:vAlign w:val="center"/>
          </w:tcPr>
          <w:p w:rsidR="009E517D" w:rsidRDefault="000614CB">
            <w:pPr>
              <w:autoSpaceDE w:val="0"/>
              <w:autoSpaceDN w:val="0"/>
              <w:jc w:val="center"/>
              <w:textAlignment w:val="bottom"/>
              <w:rPr>
                <w:sz w:val="18"/>
                <w:szCs w:val="18"/>
              </w:rPr>
            </w:pPr>
            <w:r>
              <w:rPr>
                <w:sz w:val="18"/>
                <w:szCs w:val="18"/>
              </w:rPr>
              <w:t>139755-83-2</w:t>
            </w:r>
          </w:p>
        </w:tc>
        <w:tc>
          <w:tcPr>
            <w:tcW w:w="1500" w:type="dxa"/>
            <w:tcMar>
              <w:top w:w="0" w:type="dxa"/>
              <w:left w:w="108" w:type="dxa"/>
              <w:bottom w:w="0" w:type="dxa"/>
              <w:right w:w="108" w:type="dxa"/>
            </w:tcMar>
            <w:vAlign w:val="center"/>
          </w:tcPr>
          <w:p w:rsidR="009E517D" w:rsidRDefault="000614CB">
            <w:pPr>
              <w:autoSpaceDE w:val="0"/>
              <w:autoSpaceDN w:val="0"/>
              <w:jc w:val="center"/>
              <w:textAlignment w:val="bottom"/>
              <w:rPr>
                <w:sz w:val="18"/>
                <w:szCs w:val="18"/>
              </w:rPr>
            </w:pPr>
            <w:r>
              <w:rPr>
                <w:sz w:val="18"/>
                <w:szCs w:val="18"/>
              </w:rPr>
              <w:t>C</w:t>
            </w:r>
            <w:r>
              <w:rPr>
                <w:sz w:val="18"/>
                <w:szCs w:val="18"/>
                <w:vertAlign w:val="subscript"/>
              </w:rPr>
              <w:t>22</w:t>
            </w:r>
            <w:r>
              <w:rPr>
                <w:sz w:val="18"/>
                <w:szCs w:val="18"/>
              </w:rPr>
              <w:t>H</w:t>
            </w:r>
            <w:r>
              <w:rPr>
                <w:sz w:val="18"/>
                <w:szCs w:val="18"/>
                <w:vertAlign w:val="subscript"/>
              </w:rPr>
              <w:t>30</w:t>
            </w:r>
            <w:r>
              <w:rPr>
                <w:sz w:val="18"/>
                <w:szCs w:val="18"/>
              </w:rPr>
              <w:t>N</w:t>
            </w:r>
            <w:r>
              <w:rPr>
                <w:sz w:val="18"/>
                <w:szCs w:val="18"/>
                <w:vertAlign w:val="subscript"/>
              </w:rPr>
              <w:t>6</w:t>
            </w:r>
            <w:r>
              <w:rPr>
                <w:sz w:val="18"/>
                <w:szCs w:val="18"/>
              </w:rPr>
              <w:t>O</w:t>
            </w:r>
            <w:r>
              <w:rPr>
                <w:sz w:val="18"/>
                <w:szCs w:val="18"/>
                <w:vertAlign w:val="subscript"/>
              </w:rPr>
              <w:t>4</w:t>
            </w:r>
            <w:r>
              <w:rPr>
                <w:sz w:val="18"/>
                <w:szCs w:val="18"/>
              </w:rPr>
              <w:t>S</w:t>
            </w:r>
          </w:p>
        </w:tc>
        <w:tc>
          <w:tcPr>
            <w:tcW w:w="1322" w:type="dxa"/>
            <w:tcMar>
              <w:top w:w="0" w:type="dxa"/>
              <w:left w:w="108" w:type="dxa"/>
              <w:bottom w:w="0" w:type="dxa"/>
              <w:right w:w="108" w:type="dxa"/>
            </w:tcMar>
            <w:vAlign w:val="center"/>
          </w:tcPr>
          <w:p w:rsidR="009E517D" w:rsidRDefault="000614CB">
            <w:pPr>
              <w:autoSpaceDE w:val="0"/>
              <w:autoSpaceDN w:val="0"/>
              <w:jc w:val="center"/>
              <w:textAlignment w:val="bottom"/>
              <w:rPr>
                <w:sz w:val="18"/>
                <w:szCs w:val="18"/>
              </w:rPr>
            </w:pPr>
            <w:r>
              <w:rPr>
                <w:sz w:val="18"/>
                <w:szCs w:val="18"/>
              </w:rPr>
              <w:t>474.58</w:t>
            </w:r>
          </w:p>
        </w:tc>
      </w:tr>
      <w:tr w:rsidR="009E517D">
        <w:trPr>
          <w:trHeight w:hRule="exact" w:val="454"/>
          <w:jc w:val="center"/>
        </w:trPr>
        <w:tc>
          <w:tcPr>
            <w:tcW w:w="688" w:type="dxa"/>
            <w:tcMar>
              <w:top w:w="0" w:type="dxa"/>
              <w:left w:w="108" w:type="dxa"/>
              <w:bottom w:w="0" w:type="dxa"/>
              <w:right w:w="108" w:type="dxa"/>
            </w:tcMar>
            <w:vAlign w:val="center"/>
          </w:tcPr>
          <w:p w:rsidR="009E517D" w:rsidRDefault="000614CB">
            <w:pPr>
              <w:autoSpaceDE w:val="0"/>
              <w:autoSpaceDN w:val="0"/>
              <w:jc w:val="center"/>
              <w:textAlignment w:val="bottom"/>
              <w:rPr>
                <w:sz w:val="18"/>
                <w:szCs w:val="18"/>
              </w:rPr>
            </w:pPr>
            <w:r>
              <w:rPr>
                <w:sz w:val="18"/>
                <w:szCs w:val="18"/>
              </w:rPr>
              <w:lastRenderedPageBreak/>
              <w:t>2</w:t>
            </w:r>
          </w:p>
        </w:tc>
        <w:tc>
          <w:tcPr>
            <w:tcW w:w="1904" w:type="dxa"/>
            <w:tcMar>
              <w:top w:w="0" w:type="dxa"/>
              <w:left w:w="108" w:type="dxa"/>
              <w:bottom w:w="0" w:type="dxa"/>
              <w:right w:w="108" w:type="dxa"/>
            </w:tcMar>
            <w:vAlign w:val="center"/>
          </w:tcPr>
          <w:p w:rsidR="009E517D" w:rsidRDefault="000614CB">
            <w:pPr>
              <w:autoSpaceDE w:val="0"/>
              <w:autoSpaceDN w:val="0"/>
              <w:jc w:val="center"/>
              <w:textAlignment w:val="bottom"/>
              <w:rPr>
                <w:sz w:val="18"/>
                <w:szCs w:val="18"/>
              </w:rPr>
            </w:pPr>
            <w:r>
              <w:rPr>
                <w:sz w:val="18"/>
                <w:szCs w:val="18"/>
              </w:rPr>
              <w:t>他</w:t>
            </w:r>
            <w:proofErr w:type="gramStart"/>
            <w:r>
              <w:rPr>
                <w:sz w:val="18"/>
                <w:szCs w:val="18"/>
              </w:rPr>
              <w:t>达拉非</w:t>
            </w:r>
            <w:proofErr w:type="gramEnd"/>
          </w:p>
        </w:tc>
        <w:tc>
          <w:tcPr>
            <w:tcW w:w="2284" w:type="dxa"/>
            <w:tcMar>
              <w:top w:w="0" w:type="dxa"/>
              <w:left w:w="108" w:type="dxa"/>
              <w:bottom w:w="0" w:type="dxa"/>
              <w:right w:w="108" w:type="dxa"/>
            </w:tcMar>
            <w:vAlign w:val="center"/>
          </w:tcPr>
          <w:p w:rsidR="009E517D" w:rsidRDefault="000614CB">
            <w:pPr>
              <w:autoSpaceDE w:val="0"/>
              <w:autoSpaceDN w:val="0"/>
              <w:jc w:val="center"/>
              <w:textAlignment w:val="bottom"/>
              <w:rPr>
                <w:sz w:val="18"/>
                <w:szCs w:val="18"/>
              </w:rPr>
            </w:pPr>
            <w:proofErr w:type="spellStart"/>
            <w:r>
              <w:rPr>
                <w:sz w:val="18"/>
                <w:szCs w:val="18"/>
              </w:rPr>
              <w:t>Tadalafil</w:t>
            </w:r>
            <w:proofErr w:type="spellEnd"/>
          </w:p>
        </w:tc>
        <w:tc>
          <w:tcPr>
            <w:tcW w:w="1362" w:type="dxa"/>
            <w:tcMar>
              <w:top w:w="0" w:type="dxa"/>
              <w:left w:w="108" w:type="dxa"/>
              <w:bottom w:w="0" w:type="dxa"/>
              <w:right w:w="108" w:type="dxa"/>
            </w:tcMar>
            <w:vAlign w:val="center"/>
          </w:tcPr>
          <w:p w:rsidR="009E517D" w:rsidRDefault="000614CB">
            <w:pPr>
              <w:autoSpaceDE w:val="0"/>
              <w:autoSpaceDN w:val="0"/>
              <w:jc w:val="center"/>
              <w:textAlignment w:val="bottom"/>
              <w:rPr>
                <w:sz w:val="18"/>
                <w:szCs w:val="18"/>
              </w:rPr>
            </w:pPr>
            <w:r>
              <w:rPr>
                <w:sz w:val="18"/>
                <w:szCs w:val="18"/>
              </w:rPr>
              <w:t>171596-29-5</w:t>
            </w:r>
          </w:p>
        </w:tc>
        <w:tc>
          <w:tcPr>
            <w:tcW w:w="1500" w:type="dxa"/>
            <w:tcMar>
              <w:top w:w="0" w:type="dxa"/>
              <w:left w:w="108" w:type="dxa"/>
              <w:bottom w:w="0" w:type="dxa"/>
              <w:right w:w="108" w:type="dxa"/>
            </w:tcMar>
            <w:vAlign w:val="center"/>
          </w:tcPr>
          <w:p w:rsidR="009E517D" w:rsidRDefault="000614CB">
            <w:pPr>
              <w:autoSpaceDE w:val="0"/>
              <w:autoSpaceDN w:val="0"/>
              <w:jc w:val="center"/>
              <w:textAlignment w:val="bottom"/>
              <w:rPr>
                <w:sz w:val="18"/>
                <w:szCs w:val="18"/>
              </w:rPr>
            </w:pPr>
            <w:r>
              <w:rPr>
                <w:sz w:val="18"/>
                <w:szCs w:val="18"/>
              </w:rPr>
              <w:t>C</w:t>
            </w:r>
            <w:r>
              <w:rPr>
                <w:sz w:val="18"/>
                <w:szCs w:val="18"/>
                <w:vertAlign w:val="subscript"/>
              </w:rPr>
              <w:t>22</w:t>
            </w:r>
            <w:r>
              <w:rPr>
                <w:sz w:val="18"/>
                <w:szCs w:val="18"/>
              </w:rPr>
              <w:t>H</w:t>
            </w:r>
            <w:r>
              <w:rPr>
                <w:sz w:val="18"/>
                <w:szCs w:val="18"/>
                <w:vertAlign w:val="subscript"/>
              </w:rPr>
              <w:t>19</w:t>
            </w:r>
            <w:r>
              <w:rPr>
                <w:sz w:val="18"/>
                <w:szCs w:val="18"/>
              </w:rPr>
              <w:t>N</w:t>
            </w:r>
            <w:r>
              <w:rPr>
                <w:sz w:val="18"/>
                <w:szCs w:val="18"/>
                <w:vertAlign w:val="subscript"/>
              </w:rPr>
              <w:t>3</w:t>
            </w:r>
            <w:r>
              <w:rPr>
                <w:sz w:val="18"/>
                <w:szCs w:val="18"/>
              </w:rPr>
              <w:t>O</w:t>
            </w:r>
            <w:r>
              <w:rPr>
                <w:sz w:val="18"/>
                <w:szCs w:val="18"/>
                <w:vertAlign w:val="subscript"/>
              </w:rPr>
              <w:t>4</w:t>
            </w:r>
          </w:p>
        </w:tc>
        <w:tc>
          <w:tcPr>
            <w:tcW w:w="1322" w:type="dxa"/>
            <w:tcMar>
              <w:top w:w="0" w:type="dxa"/>
              <w:left w:w="108" w:type="dxa"/>
              <w:bottom w:w="0" w:type="dxa"/>
              <w:right w:w="108" w:type="dxa"/>
            </w:tcMar>
            <w:vAlign w:val="center"/>
          </w:tcPr>
          <w:p w:rsidR="009E517D" w:rsidRDefault="000614CB">
            <w:pPr>
              <w:autoSpaceDE w:val="0"/>
              <w:autoSpaceDN w:val="0"/>
              <w:jc w:val="center"/>
              <w:textAlignment w:val="bottom"/>
              <w:rPr>
                <w:sz w:val="18"/>
                <w:szCs w:val="18"/>
              </w:rPr>
            </w:pPr>
            <w:r>
              <w:rPr>
                <w:sz w:val="18"/>
                <w:szCs w:val="18"/>
              </w:rPr>
              <w:t>389.40</w:t>
            </w:r>
          </w:p>
        </w:tc>
      </w:tr>
    </w:tbl>
    <w:p w:rsidR="009E517D" w:rsidRDefault="000614CB">
      <w:pPr>
        <w:ind w:firstLineChars="200" w:firstLine="360"/>
        <w:rPr>
          <w:sz w:val="18"/>
          <w:szCs w:val="18"/>
        </w:rPr>
      </w:pPr>
      <w:r>
        <w:rPr>
          <w:sz w:val="18"/>
          <w:szCs w:val="18"/>
        </w:rPr>
        <w:t>注：或等同可溯源物质。</w:t>
      </w:r>
    </w:p>
    <w:p w:rsidR="009E517D" w:rsidRDefault="000614CB">
      <w:pPr>
        <w:pStyle w:val="a"/>
        <w:numPr>
          <w:ilvl w:val="1"/>
          <w:numId w:val="3"/>
        </w:numPr>
        <w:spacing w:before="156" w:after="156"/>
        <w:ind w:left="0"/>
        <w:outlineLvl w:val="1"/>
        <w:rPr>
          <w:rFonts w:ascii="Times New Roman"/>
        </w:rPr>
      </w:pPr>
      <w:bookmarkStart w:id="12" w:name="_Toc19330_WPSOffice_Level1"/>
      <w:bookmarkStart w:id="13" w:name="_Toc25374_WPSOffice_Level1"/>
      <w:bookmarkStart w:id="14" w:name="_Toc11082_WPSOffice_Level1"/>
      <w:r>
        <w:rPr>
          <w:rFonts w:ascii="Times New Roman"/>
        </w:rPr>
        <w:t>标准溶液配制</w:t>
      </w:r>
      <w:bookmarkEnd w:id="12"/>
      <w:bookmarkEnd w:id="13"/>
      <w:bookmarkEnd w:id="14"/>
    </w:p>
    <w:p w:rsidR="009E517D" w:rsidRDefault="000614CB">
      <w:pPr>
        <w:pStyle w:val="a0"/>
        <w:numPr>
          <w:ilvl w:val="2"/>
          <w:numId w:val="3"/>
        </w:numPr>
        <w:spacing w:beforeLines="0" w:afterLines="0"/>
        <w:ind w:left="10" w:hanging="10"/>
        <w:outlineLvl w:val="9"/>
        <w:rPr>
          <w:rFonts w:ascii="Times New Roman"/>
        </w:rPr>
      </w:pPr>
      <w:r>
        <w:rPr>
          <w:rFonts w:ascii="Times New Roman" w:eastAsia="宋体"/>
        </w:rPr>
        <w:t>西地那非标准储备液（</w:t>
      </w:r>
      <w:r>
        <w:rPr>
          <w:rFonts w:ascii="Times New Roman" w:eastAsia="宋体"/>
        </w:rPr>
        <w:t xml:space="preserve">1.0 </w:t>
      </w:r>
      <w:r>
        <w:rPr>
          <w:rFonts w:ascii="Times New Roman" w:eastAsia="宋体"/>
        </w:rPr>
        <w:t>mg/mL</w:t>
      </w:r>
      <w:r>
        <w:rPr>
          <w:rFonts w:ascii="Times New Roman" w:eastAsia="宋体"/>
        </w:rPr>
        <w:t>）：精密称取适量西地那非参考物质（</w:t>
      </w:r>
      <w:r>
        <w:rPr>
          <w:rFonts w:ascii="Times New Roman" w:eastAsia="宋体"/>
        </w:rPr>
        <w:t>3.2</w:t>
      </w:r>
      <w:r>
        <w:rPr>
          <w:rFonts w:ascii="Times New Roman" w:eastAsia="宋体"/>
        </w:rPr>
        <w:t>），用甲醇（</w:t>
      </w:r>
      <w:r>
        <w:rPr>
          <w:rFonts w:ascii="Times New Roman" w:eastAsia="宋体"/>
        </w:rPr>
        <w:t>3.1.1</w:t>
      </w:r>
      <w:r>
        <w:rPr>
          <w:rFonts w:ascii="Times New Roman" w:eastAsia="宋体"/>
        </w:rPr>
        <w:t>）溶解并稀释至刻度，摇匀，配制成浓度为</w:t>
      </w:r>
      <w:r>
        <w:rPr>
          <w:rFonts w:ascii="Times New Roman" w:eastAsia="宋体"/>
        </w:rPr>
        <w:t>1.0 mg/mL</w:t>
      </w:r>
      <w:r>
        <w:rPr>
          <w:rFonts w:ascii="Times New Roman" w:eastAsia="宋体"/>
        </w:rPr>
        <w:t>的标准储备液。</w:t>
      </w:r>
      <w:r>
        <w:rPr>
          <w:rFonts w:ascii="Times New Roman" w:eastAsia="宋体"/>
        </w:rPr>
        <w:t>-20</w:t>
      </w:r>
      <w:r>
        <w:rPr>
          <w:rFonts w:ascii="宋体" w:eastAsia="宋体" w:hAnsi="宋体" w:cs="宋体" w:hint="eastAsia"/>
        </w:rPr>
        <w:t>℃</w:t>
      </w:r>
      <w:r>
        <w:rPr>
          <w:rFonts w:ascii="Times New Roman" w:eastAsia="宋体"/>
        </w:rPr>
        <w:t>避光保存，有效期</w:t>
      </w:r>
      <w:r>
        <w:rPr>
          <w:rFonts w:ascii="Times New Roman" w:eastAsia="宋体"/>
        </w:rPr>
        <w:t>1</w:t>
      </w:r>
      <w:r>
        <w:rPr>
          <w:rFonts w:ascii="Times New Roman" w:eastAsia="宋体"/>
        </w:rPr>
        <w:t>年。</w:t>
      </w:r>
    </w:p>
    <w:p w:rsidR="009E517D" w:rsidRDefault="000614CB">
      <w:pPr>
        <w:pStyle w:val="a0"/>
        <w:numPr>
          <w:ilvl w:val="2"/>
          <w:numId w:val="3"/>
        </w:numPr>
        <w:spacing w:beforeLines="0" w:before="0" w:afterLines="0" w:after="0"/>
        <w:ind w:left="10" w:hanging="10"/>
        <w:outlineLvl w:val="9"/>
        <w:rPr>
          <w:rFonts w:ascii="Times New Roman"/>
        </w:rPr>
      </w:pPr>
      <w:r>
        <w:rPr>
          <w:rFonts w:ascii="Times New Roman" w:eastAsia="宋体"/>
        </w:rPr>
        <w:t>西地那非标准工作液（</w:t>
      </w:r>
      <w:r>
        <w:rPr>
          <w:rFonts w:ascii="Times New Roman" w:eastAsia="宋体"/>
        </w:rPr>
        <w:t>10</w:t>
      </w:r>
      <w:r>
        <w:rPr>
          <w:rFonts w:ascii="Cambria Math" w:eastAsia="宋体" w:hAnsi="Cambria Math" w:cs="Cambria Math"/>
        </w:rPr>
        <w:t> </w:t>
      </w:r>
      <w:proofErr w:type="spellStart"/>
      <w:r>
        <w:rPr>
          <w:rFonts w:ascii="Times New Roman" w:eastAsia="宋体"/>
        </w:rPr>
        <w:t>μg</w:t>
      </w:r>
      <w:proofErr w:type="spellEnd"/>
      <w:r>
        <w:rPr>
          <w:rFonts w:ascii="Times New Roman" w:eastAsia="宋体"/>
        </w:rPr>
        <w:t>/mL</w:t>
      </w:r>
      <w:r>
        <w:rPr>
          <w:rFonts w:ascii="Times New Roman" w:eastAsia="宋体"/>
        </w:rPr>
        <w:t>）：精密移取适量西地那非标准储备液（</w:t>
      </w:r>
      <w:r>
        <w:rPr>
          <w:rFonts w:ascii="Times New Roman" w:eastAsia="宋体"/>
        </w:rPr>
        <w:t>1.0 mg/mL</w:t>
      </w:r>
      <w:r>
        <w:rPr>
          <w:rFonts w:ascii="Times New Roman" w:eastAsia="宋体"/>
        </w:rPr>
        <w:t>）（</w:t>
      </w:r>
      <w:r>
        <w:rPr>
          <w:rFonts w:ascii="Times New Roman" w:eastAsia="宋体"/>
        </w:rPr>
        <w:t>3.3.1</w:t>
      </w:r>
      <w:r>
        <w:rPr>
          <w:rFonts w:ascii="Times New Roman" w:eastAsia="宋体"/>
        </w:rPr>
        <w:t>）分别置于</w:t>
      </w:r>
      <w:r>
        <w:rPr>
          <w:rFonts w:ascii="Times New Roman" w:eastAsia="宋体"/>
        </w:rPr>
        <w:t>10</w:t>
      </w:r>
      <w:r>
        <w:rPr>
          <w:rFonts w:ascii="Cambria Math" w:eastAsia="宋体" w:hAnsi="Cambria Math" w:cs="Cambria Math"/>
        </w:rPr>
        <w:t> </w:t>
      </w:r>
      <w:r>
        <w:rPr>
          <w:rFonts w:ascii="Times New Roman" w:eastAsia="宋体"/>
        </w:rPr>
        <w:t>mL</w:t>
      </w:r>
      <w:r>
        <w:rPr>
          <w:rFonts w:ascii="Times New Roman" w:eastAsia="宋体"/>
        </w:rPr>
        <w:t>容量瓶中，用甲醇（</w:t>
      </w:r>
      <w:r>
        <w:rPr>
          <w:rFonts w:ascii="Times New Roman" w:eastAsia="宋体"/>
        </w:rPr>
        <w:t>3.1.1</w:t>
      </w:r>
      <w:r>
        <w:rPr>
          <w:rFonts w:ascii="Times New Roman" w:eastAsia="宋体"/>
        </w:rPr>
        <w:t>）稀释至刻度，摇匀，配制成浓度为</w:t>
      </w:r>
      <w:r>
        <w:rPr>
          <w:rFonts w:ascii="Times New Roman" w:eastAsia="宋体"/>
        </w:rPr>
        <w:t>10</w:t>
      </w:r>
      <w:r>
        <w:rPr>
          <w:rFonts w:ascii="Cambria Math" w:eastAsia="宋体" w:hAnsi="Cambria Math" w:cs="Cambria Math"/>
        </w:rPr>
        <w:t> </w:t>
      </w:r>
      <w:proofErr w:type="spellStart"/>
      <w:r>
        <w:rPr>
          <w:rFonts w:ascii="Times New Roman" w:eastAsia="宋体"/>
        </w:rPr>
        <w:t>μg</w:t>
      </w:r>
      <w:proofErr w:type="spellEnd"/>
      <w:r>
        <w:rPr>
          <w:rFonts w:ascii="Times New Roman" w:eastAsia="宋体"/>
        </w:rPr>
        <w:t>/mL</w:t>
      </w:r>
      <w:r>
        <w:rPr>
          <w:rFonts w:ascii="Times New Roman" w:eastAsia="宋体"/>
        </w:rPr>
        <w:t>的标准工作液。</w:t>
      </w:r>
      <w:r>
        <w:rPr>
          <w:rFonts w:ascii="Times New Roman" w:eastAsia="宋体"/>
        </w:rPr>
        <w:t>-20</w:t>
      </w:r>
      <w:r>
        <w:rPr>
          <w:rFonts w:ascii="宋体" w:eastAsia="宋体" w:hAnsi="宋体" w:cs="宋体" w:hint="eastAsia"/>
        </w:rPr>
        <w:t>℃</w:t>
      </w:r>
      <w:r>
        <w:rPr>
          <w:rFonts w:ascii="Times New Roman" w:eastAsia="宋体"/>
        </w:rPr>
        <w:t>避光保存，有效期</w:t>
      </w:r>
      <w:r>
        <w:rPr>
          <w:rFonts w:ascii="Times New Roman" w:eastAsia="宋体"/>
        </w:rPr>
        <w:t>3</w:t>
      </w:r>
      <w:r>
        <w:rPr>
          <w:rFonts w:ascii="Times New Roman" w:eastAsia="宋体"/>
        </w:rPr>
        <w:t>个月。</w:t>
      </w:r>
    </w:p>
    <w:p w:rsidR="009E517D" w:rsidRDefault="000614CB">
      <w:pPr>
        <w:pStyle w:val="a0"/>
        <w:numPr>
          <w:ilvl w:val="2"/>
          <w:numId w:val="3"/>
        </w:numPr>
        <w:spacing w:beforeLines="0" w:afterLines="0"/>
        <w:ind w:left="10" w:hanging="10"/>
        <w:outlineLvl w:val="9"/>
        <w:rPr>
          <w:rFonts w:ascii="Times New Roman"/>
        </w:rPr>
      </w:pPr>
      <w:r>
        <w:rPr>
          <w:rFonts w:ascii="Times New Roman" w:eastAsia="宋体"/>
        </w:rPr>
        <w:t>他达拉非标准储备液（</w:t>
      </w:r>
      <w:r>
        <w:rPr>
          <w:rFonts w:ascii="Times New Roman" w:eastAsia="宋体"/>
        </w:rPr>
        <w:t xml:space="preserve">0.5 </w:t>
      </w:r>
      <w:r>
        <w:rPr>
          <w:rFonts w:ascii="Times New Roman" w:eastAsia="宋体"/>
        </w:rPr>
        <w:t>mg/mL</w:t>
      </w:r>
      <w:r>
        <w:rPr>
          <w:rFonts w:ascii="Times New Roman" w:eastAsia="宋体"/>
        </w:rPr>
        <w:t>）：精密称取</w:t>
      </w:r>
      <w:proofErr w:type="gramStart"/>
      <w:r>
        <w:rPr>
          <w:rFonts w:ascii="Times New Roman" w:eastAsia="宋体"/>
        </w:rPr>
        <w:t>适量他达拉非</w:t>
      </w:r>
      <w:proofErr w:type="gramEnd"/>
      <w:r>
        <w:rPr>
          <w:rFonts w:ascii="Times New Roman" w:eastAsia="宋体"/>
        </w:rPr>
        <w:t>参考物质（</w:t>
      </w:r>
      <w:r>
        <w:rPr>
          <w:rFonts w:ascii="Times New Roman" w:eastAsia="宋体"/>
        </w:rPr>
        <w:t>3.2</w:t>
      </w:r>
      <w:r>
        <w:rPr>
          <w:rFonts w:ascii="Times New Roman" w:eastAsia="宋体"/>
        </w:rPr>
        <w:t>），用甲醇（</w:t>
      </w:r>
      <w:r>
        <w:rPr>
          <w:rFonts w:ascii="Times New Roman" w:eastAsia="宋体"/>
        </w:rPr>
        <w:t>3.1.1</w:t>
      </w:r>
      <w:r>
        <w:rPr>
          <w:rFonts w:ascii="Times New Roman" w:eastAsia="宋体"/>
        </w:rPr>
        <w:t>）溶解并稀释至刻度，摇匀，配制成浓度为</w:t>
      </w:r>
      <w:r>
        <w:rPr>
          <w:rFonts w:ascii="Times New Roman" w:eastAsia="宋体"/>
        </w:rPr>
        <w:t>0.5</w:t>
      </w:r>
      <w:r>
        <w:rPr>
          <w:rFonts w:ascii="Cambria Math" w:eastAsia="宋体" w:hAnsi="Cambria Math" w:cs="Cambria Math"/>
        </w:rPr>
        <w:t> </w:t>
      </w:r>
      <w:r>
        <w:rPr>
          <w:rFonts w:ascii="Times New Roman" w:eastAsia="宋体"/>
        </w:rPr>
        <w:t>mg/mL</w:t>
      </w:r>
      <w:r>
        <w:rPr>
          <w:rFonts w:ascii="Times New Roman" w:eastAsia="宋体"/>
        </w:rPr>
        <w:t>的标准储备液。</w:t>
      </w:r>
      <w:r>
        <w:rPr>
          <w:rFonts w:ascii="Times New Roman" w:eastAsia="宋体"/>
        </w:rPr>
        <w:t>-20</w:t>
      </w:r>
      <w:r>
        <w:rPr>
          <w:rFonts w:ascii="宋体" w:eastAsia="宋体" w:hAnsi="宋体" w:cs="宋体" w:hint="eastAsia"/>
        </w:rPr>
        <w:t>℃</w:t>
      </w:r>
      <w:r>
        <w:rPr>
          <w:rFonts w:ascii="Times New Roman" w:eastAsia="宋体"/>
        </w:rPr>
        <w:t>避光保存，有效期</w:t>
      </w:r>
      <w:r>
        <w:rPr>
          <w:rFonts w:ascii="Times New Roman" w:eastAsia="宋体"/>
        </w:rPr>
        <w:t>1</w:t>
      </w:r>
      <w:r>
        <w:rPr>
          <w:rFonts w:ascii="Times New Roman" w:eastAsia="宋体"/>
        </w:rPr>
        <w:t>年。</w:t>
      </w:r>
    </w:p>
    <w:p w:rsidR="009E517D" w:rsidRDefault="000614CB">
      <w:pPr>
        <w:pStyle w:val="a0"/>
        <w:numPr>
          <w:ilvl w:val="2"/>
          <w:numId w:val="3"/>
        </w:numPr>
        <w:spacing w:beforeLines="0" w:afterLines="0"/>
        <w:ind w:left="10" w:hanging="10"/>
        <w:outlineLvl w:val="9"/>
        <w:rPr>
          <w:rFonts w:ascii="Times New Roman"/>
        </w:rPr>
      </w:pPr>
      <w:r>
        <w:rPr>
          <w:rFonts w:ascii="Times New Roman" w:eastAsia="宋体"/>
        </w:rPr>
        <w:t>他达拉非标准工作液（</w:t>
      </w:r>
      <w:r>
        <w:rPr>
          <w:rFonts w:ascii="Times New Roman" w:eastAsia="宋体"/>
        </w:rPr>
        <w:t>10</w:t>
      </w:r>
      <w:r>
        <w:rPr>
          <w:rFonts w:ascii="Cambria Math" w:eastAsia="宋体" w:hAnsi="Cambria Math" w:cs="Cambria Math"/>
        </w:rPr>
        <w:t> </w:t>
      </w:r>
      <w:proofErr w:type="spellStart"/>
      <w:r>
        <w:rPr>
          <w:rFonts w:ascii="Times New Roman" w:eastAsia="宋体"/>
        </w:rPr>
        <w:t>μg</w:t>
      </w:r>
      <w:proofErr w:type="spellEnd"/>
      <w:r>
        <w:rPr>
          <w:rFonts w:ascii="Times New Roman" w:eastAsia="宋体"/>
        </w:rPr>
        <w:t>/mL</w:t>
      </w:r>
      <w:r>
        <w:rPr>
          <w:rFonts w:ascii="Times New Roman" w:eastAsia="宋体"/>
        </w:rPr>
        <w:t>）：精密移取</w:t>
      </w:r>
      <w:proofErr w:type="gramStart"/>
      <w:r>
        <w:rPr>
          <w:rFonts w:ascii="Times New Roman" w:eastAsia="宋体"/>
        </w:rPr>
        <w:t>适量他</w:t>
      </w:r>
      <w:proofErr w:type="gramEnd"/>
      <w:r>
        <w:rPr>
          <w:rFonts w:ascii="Times New Roman" w:eastAsia="宋体"/>
        </w:rPr>
        <w:t>达拉非标准储备液（</w:t>
      </w:r>
      <w:r>
        <w:rPr>
          <w:rFonts w:ascii="Times New Roman" w:eastAsia="宋体"/>
        </w:rPr>
        <w:t>0.5mg/mL</w:t>
      </w:r>
      <w:r>
        <w:rPr>
          <w:rFonts w:ascii="Times New Roman" w:eastAsia="宋体"/>
        </w:rPr>
        <w:t>）（</w:t>
      </w:r>
      <w:r>
        <w:rPr>
          <w:rFonts w:ascii="Times New Roman" w:eastAsia="宋体"/>
        </w:rPr>
        <w:t>3.3.3</w:t>
      </w:r>
      <w:r>
        <w:rPr>
          <w:rFonts w:ascii="Times New Roman" w:eastAsia="宋体"/>
        </w:rPr>
        <w:t>）分别置于</w:t>
      </w:r>
      <w:r>
        <w:rPr>
          <w:rFonts w:ascii="Times New Roman" w:eastAsia="宋体"/>
        </w:rPr>
        <w:t>10</w:t>
      </w:r>
      <w:r>
        <w:rPr>
          <w:rFonts w:ascii="Cambria Math" w:eastAsia="宋体" w:hAnsi="Cambria Math" w:cs="Cambria Math"/>
        </w:rPr>
        <w:t> </w:t>
      </w:r>
      <w:r>
        <w:rPr>
          <w:rFonts w:ascii="Times New Roman" w:eastAsia="宋体"/>
        </w:rPr>
        <w:t>mL</w:t>
      </w:r>
      <w:r>
        <w:rPr>
          <w:rFonts w:ascii="Times New Roman" w:eastAsia="宋体"/>
        </w:rPr>
        <w:t>容量瓶中，用甲醇（</w:t>
      </w:r>
      <w:r>
        <w:rPr>
          <w:rFonts w:ascii="Times New Roman" w:eastAsia="宋体"/>
        </w:rPr>
        <w:t>3.1.1</w:t>
      </w:r>
      <w:r>
        <w:rPr>
          <w:rFonts w:ascii="Times New Roman" w:eastAsia="宋体"/>
        </w:rPr>
        <w:t>）稀释至刻度，摇匀，制成浓度为</w:t>
      </w:r>
      <w:r>
        <w:rPr>
          <w:rFonts w:ascii="Times New Roman" w:eastAsia="宋体"/>
        </w:rPr>
        <w:t>10</w:t>
      </w:r>
      <w:r>
        <w:rPr>
          <w:rFonts w:ascii="Cambria Math" w:eastAsia="宋体" w:hAnsi="Cambria Math" w:cs="Cambria Math"/>
        </w:rPr>
        <w:t> </w:t>
      </w:r>
      <w:proofErr w:type="spellStart"/>
      <w:r>
        <w:rPr>
          <w:rFonts w:ascii="Times New Roman" w:eastAsia="宋体"/>
        </w:rPr>
        <w:t>μg</w:t>
      </w:r>
      <w:proofErr w:type="spellEnd"/>
      <w:r>
        <w:rPr>
          <w:rFonts w:ascii="Times New Roman" w:eastAsia="宋体"/>
        </w:rPr>
        <w:t>/mL</w:t>
      </w:r>
      <w:r>
        <w:rPr>
          <w:rFonts w:ascii="Times New Roman" w:eastAsia="宋体"/>
        </w:rPr>
        <w:t>的标准工作液。</w:t>
      </w:r>
      <w:r>
        <w:rPr>
          <w:rFonts w:ascii="Times New Roman" w:eastAsia="宋体"/>
        </w:rPr>
        <w:t>-20</w:t>
      </w:r>
      <w:r>
        <w:rPr>
          <w:rFonts w:ascii="宋体" w:eastAsia="宋体" w:hAnsi="宋体" w:cs="宋体" w:hint="eastAsia"/>
        </w:rPr>
        <w:t>℃</w:t>
      </w:r>
      <w:r>
        <w:rPr>
          <w:rFonts w:ascii="Times New Roman" w:eastAsia="宋体"/>
        </w:rPr>
        <w:t>避光保存，有效期</w:t>
      </w:r>
      <w:r>
        <w:rPr>
          <w:rFonts w:ascii="Times New Roman" w:eastAsia="宋体"/>
        </w:rPr>
        <w:t>3</w:t>
      </w:r>
      <w:r>
        <w:rPr>
          <w:rFonts w:ascii="Times New Roman" w:eastAsia="宋体"/>
        </w:rPr>
        <w:t>个月。</w:t>
      </w:r>
    </w:p>
    <w:p w:rsidR="009E517D" w:rsidRDefault="000614CB">
      <w:pPr>
        <w:pStyle w:val="a"/>
        <w:numPr>
          <w:ilvl w:val="1"/>
          <w:numId w:val="3"/>
        </w:numPr>
        <w:spacing w:before="156" w:after="156"/>
        <w:ind w:left="0"/>
        <w:outlineLvl w:val="1"/>
        <w:rPr>
          <w:rFonts w:ascii="Times New Roman"/>
        </w:rPr>
      </w:pPr>
      <w:r>
        <w:rPr>
          <w:rFonts w:ascii="Times New Roman"/>
        </w:rPr>
        <w:t>材料</w:t>
      </w:r>
    </w:p>
    <w:p w:rsidR="009E517D" w:rsidRDefault="000614CB">
      <w:pPr>
        <w:pStyle w:val="a"/>
        <w:numPr>
          <w:ilvl w:val="0"/>
          <w:numId w:val="0"/>
        </w:numPr>
        <w:spacing w:beforeLines="0" w:afterLines="0"/>
        <w:ind w:firstLineChars="200" w:firstLine="420"/>
        <w:outlineLvl w:val="9"/>
        <w:rPr>
          <w:rFonts w:ascii="Times New Roman" w:eastAsia="宋体"/>
          <w:kern w:val="2"/>
        </w:rPr>
      </w:pPr>
      <w:r>
        <w:rPr>
          <w:rFonts w:ascii="Times New Roman" w:eastAsia="宋体"/>
          <w:kern w:val="2"/>
        </w:rPr>
        <w:t>西地那非胶体金免疫层析试剂盒及配套的试剂（可选），适用基质为保健食品。</w:t>
      </w:r>
    </w:p>
    <w:p w:rsidR="009E517D" w:rsidRDefault="000614CB">
      <w:pPr>
        <w:pStyle w:val="a"/>
        <w:numPr>
          <w:ilvl w:val="0"/>
          <w:numId w:val="0"/>
        </w:numPr>
        <w:spacing w:beforeLines="0" w:afterLines="0"/>
        <w:ind w:firstLineChars="200" w:firstLine="420"/>
        <w:outlineLvl w:val="9"/>
        <w:rPr>
          <w:rFonts w:ascii="Times New Roman"/>
        </w:rPr>
      </w:pPr>
      <w:r>
        <w:rPr>
          <w:rFonts w:ascii="Times New Roman" w:eastAsia="宋体"/>
          <w:kern w:val="2"/>
        </w:rPr>
        <w:t>他</w:t>
      </w:r>
      <w:proofErr w:type="gramStart"/>
      <w:r>
        <w:rPr>
          <w:rFonts w:ascii="Times New Roman" w:eastAsia="宋体"/>
          <w:kern w:val="2"/>
        </w:rPr>
        <w:t>达拉非胶体金</w:t>
      </w:r>
      <w:proofErr w:type="gramEnd"/>
      <w:r>
        <w:rPr>
          <w:rFonts w:ascii="Times New Roman" w:eastAsia="宋体"/>
          <w:kern w:val="2"/>
        </w:rPr>
        <w:t>免</w:t>
      </w:r>
      <w:r>
        <w:rPr>
          <w:rFonts w:ascii="Times New Roman" w:eastAsia="宋体"/>
          <w:kern w:val="2"/>
        </w:rPr>
        <w:t>疫层析试剂盒及配套的试剂（可选），适用基质为保健食品。</w:t>
      </w:r>
    </w:p>
    <w:p w:rsidR="009E517D" w:rsidRDefault="000614CB">
      <w:pPr>
        <w:pStyle w:val="ad"/>
        <w:numPr>
          <w:ilvl w:val="0"/>
          <w:numId w:val="3"/>
        </w:numPr>
        <w:tabs>
          <w:tab w:val="right" w:leader="dot" w:pos="8844"/>
        </w:tabs>
        <w:spacing w:beforeLines="50" w:before="156" w:afterLines="50" w:after="156"/>
        <w:outlineLvl w:val="0"/>
        <w:rPr>
          <w:rFonts w:ascii="Times New Roman"/>
          <w:szCs w:val="22"/>
        </w:rPr>
      </w:pPr>
      <w:r>
        <w:rPr>
          <w:rFonts w:ascii="Times New Roman"/>
          <w:szCs w:val="22"/>
        </w:rPr>
        <w:t>设备与仪器</w:t>
      </w:r>
    </w:p>
    <w:p w:rsidR="009E517D" w:rsidRDefault="000614CB">
      <w:pPr>
        <w:pStyle w:val="a"/>
        <w:numPr>
          <w:ilvl w:val="1"/>
          <w:numId w:val="3"/>
        </w:numPr>
        <w:spacing w:before="156" w:after="156"/>
        <w:ind w:left="0"/>
        <w:outlineLvl w:val="1"/>
        <w:rPr>
          <w:rFonts w:ascii="Times New Roman"/>
        </w:rPr>
      </w:pPr>
      <w:r>
        <w:rPr>
          <w:rFonts w:ascii="Times New Roman"/>
        </w:rPr>
        <w:t>设备</w:t>
      </w:r>
    </w:p>
    <w:p w:rsidR="009E517D" w:rsidRDefault="000614CB">
      <w:pPr>
        <w:pStyle w:val="a0"/>
        <w:numPr>
          <w:ilvl w:val="2"/>
          <w:numId w:val="3"/>
        </w:numPr>
        <w:snapToGrid w:val="0"/>
        <w:spacing w:beforeLines="0" w:afterLines="0"/>
        <w:ind w:left="10" w:hanging="10"/>
        <w:outlineLvl w:val="9"/>
        <w:rPr>
          <w:rFonts w:ascii="Times New Roman" w:eastAsia="宋体"/>
          <w:szCs w:val="22"/>
        </w:rPr>
      </w:pPr>
      <w:r>
        <w:rPr>
          <w:rFonts w:ascii="Times New Roman" w:eastAsia="宋体"/>
          <w:szCs w:val="22"/>
        </w:rPr>
        <w:t>天平：</w:t>
      </w:r>
      <w:proofErr w:type="gramStart"/>
      <w:r>
        <w:rPr>
          <w:rFonts w:ascii="Times New Roman" w:eastAsia="宋体"/>
          <w:szCs w:val="22"/>
        </w:rPr>
        <w:t>感</w:t>
      </w:r>
      <w:proofErr w:type="gramEnd"/>
      <w:r>
        <w:rPr>
          <w:rFonts w:ascii="Times New Roman" w:eastAsia="宋体"/>
          <w:szCs w:val="22"/>
        </w:rPr>
        <w:t>量为</w:t>
      </w:r>
      <w:r>
        <w:rPr>
          <w:rFonts w:ascii="Times New Roman" w:eastAsia="宋体"/>
          <w:szCs w:val="22"/>
        </w:rPr>
        <w:t>0.1</w:t>
      </w:r>
      <w:r>
        <w:rPr>
          <w:rFonts w:ascii="Times New Roman" w:eastAsia="宋体" w:hint="eastAsia"/>
          <w:szCs w:val="22"/>
        </w:rPr>
        <w:t xml:space="preserve"> </w:t>
      </w:r>
      <w:r>
        <w:rPr>
          <w:rFonts w:ascii="Times New Roman" w:eastAsia="宋体"/>
          <w:szCs w:val="22"/>
        </w:rPr>
        <w:t>mg</w:t>
      </w:r>
      <w:r>
        <w:rPr>
          <w:rFonts w:ascii="Times New Roman" w:eastAsia="宋体"/>
          <w:szCs w:val="22"/>
        </w:rPr>
        <w:t>和</w:t>
      </w:r>
      <w:r>
        <w:rPr>
          <w:rFonts w:ascii="Times New Roman" w:eastAsia="宋体"/>
          <w:szCs w:val="22"/>
        </w:rPr>
        <w:t>0.01</w:t>
      </w:r>
      <w:r>
        <w:rPr>
          <w:rFonts w:ascii="Times New Roman" w:eastAsia="宋体" w:hint="eastAsia"/>
          <w:szCs w:val="22"/>
        </w:rPr>
        <w:t xml:space="preserve"> </w:t>
      </w:r>
      <w:r>
        <w:rPr>
          <w:rFonts w:ascii="Times New Roman" w:eastAsia="宋体"/>
          <w:szCs w:val="22"/>
        </w:rPr>
        <w:t>g</w:t>
      </w:r>
      <w:r>
        <w:rPr>
          <w:rFonts w:ascii="Times New Roman" w:eastAsia="宋体"/>
          <w:szCs w:val="22"/>
        </w:rPr>
        <w:t>。</w:t>
      </w:r>
    </w:p>
    <w:p w:rsidR="009E517D" w:rsidRDefault="000614CB">
      <w:pPr>
        <w:pStyle w:val="a0"/>
        <w:numPr>
          <w:ilvl w:val="2"/>
          <w:numId w:val="3"/>
        </w:numPr>
        <w:tabs>
          <w:tab w:val="left" w:pos="360"/>
        </w:tabs>
        <w:snapToGrid w:val="0"/>
        <w:spacing w:beforeLines="0" w:afterLines="0"/>
        <w:ind w:left="10" w:hanging="10"/>
        <w:outlineLvl w:val="9"/>
        <w:rPr>
          <w:rFonts w:ascii="Times New Roman"/>
          <w:szCs w:val="22"/>
        </w:rPr>
      </w:pPr>
      <w:r>
        <w:rPr>
          <w:rFonts w:ascii="Times New Roman" w:eastAsia="宋体"/>
          <w:szCs w:val="22"/>
        </w:rPr>
        <w:t>涡旋混合器。</w:t>
      </w:r>
    </w:p>
    <w:p w:rsidR="009E517D" w:rsidRDefault="000614CB">
      <w:pPr>
        <w:pStyle w:val="a0"/>
        <w:numPr>
          <w:ilvl w:val="2"/>
          <w:numId w:val="3"/>
        </w:numPr>
        <w:tabs>
          <w:tab w:val="left" w:pos="360"/>
        </w:tabs>
        <w:snapToGrid w:val="0"/>
        <w:spacing w:beforeLines="0" w:afterLines="0"/>
        <w:ind w:left="10" w:hanging="10"/>
        <w:outlineLvl w:val="9"/>
        <w:rPr>
          <w:rFonts w:ascii="Times New Roman"/>
          <w:szCs w:val="22"/>
        </w:rPr>
      </w:pPr>
      <w:proofErr w:type="gramStart"/>
      <w:r>
        <w:rPr>
          <w:rFonts w:ascii="Times New Roman" w:eastAsia="宋体"/>
          <w:szCs w:val="22"/>
        </w:rPr>
        <w:t>移液器</w:t>
      </w:r>
      <w:proofErr w:type="gramEnd"/>
      <w:r>
        <w:rPr>
          <w:rFonts w:ascii="Times New Roman" w:eastAsia="宋体"/>
          <w:szCs w:val="22"/>
        </w:rPr>
        <w:t>：</w:t>
      </w:r>
      <w:r>
        <w:rPr>
          <w:rFonts w:ascii="Times New Roman" w:eastAsia="宋体"/>
          <w:szCs w:val="22"/>
        </w:rPr>
        <w:t>20-200</w:t>
      </w:r>
      <w:r>
        <w:rPr>
          <w:rFonts w:ascii="Times New Roman" w:eastAsia="宋体" w:hint="eastAsia"/>
          <w:szCs w:val="22"/>
        </w:rPr>
        <w:t xml:space="preserve"> </w:t>
      </w:r>
      <w:proofErr w:type="spellStart"/>
      <w:r>
        <w:rPr>
          <w:rFonts w:ascii="Times New Roman" w:eastAsia="宋体"/>
          <w:szCs w:val="22"/>
        </w:rPr>
        <w:t>μL</w:t>
      </w:r>
      <w:proofErr w:type="spellEnd"/>
      <w:r>
        <w:rPr>
          <w:rFonts w:ascii="Times New Roman" w:eastAsia="宋体"/>
          <w:szCs w:val="22"/>
        </w:rPr>
        <w:t>，</w:t>
      </w:r>
      <w:r>
        <w:rPr>
          <w:rFonts w:ascii="Times New Roman" w:eastAsia="宋体"/>
          <w:szCs w:val="22"/>
        </w:rPr>
        <w:t>100-1000</w:t>
      </w:r>
      <w:r>
        <w:rPr>
          <w:rFonts w:ascii="Times New Roman" w:eastAsia="宋体" w:hint="eastAsia"/>
          <w:szCs w:val="22"/>
        </w:rPr>
        <w:t xml:space="preserve"> </w:t>
      </w:r>
      <w:proofErr w:type="spellStart"/>
      <w:r>
        <w:rPr>
          <w:rFonts w:ascii="Times New Roman" w:eastAsia="宋体"/>
          <w:szCs w:val="22"/>
        </w:rPr>
        <w:t>μL</w:t>
      </w:r>
      <w:proofErr w:type="spellEnd"/>
      <w:r>
        <w:rPr>
          <w:rFonts w:ascii="Times New Roman" w:eastAsia="宋体"/>
          <w:szCs w:val="22"/>
        </w:rPr>
        <w:t>，</w:t>
      </w:r>
      <w:r>
        <w:rPr>
          <w:rFonts w:ascii="Times New Roman" w:eastAsia="宋体"/>
          <w:szCs w:val="22"/>
        </w:rPr>
        <w:t>5</w:t>
      </w:r>
      <w:r>
        <w:rPr>
          <w:rFonts w:ascii="Times New Roman" w:eastAsia="宋体" w:hint="eastAsia"/>
          <w:szCs w:val="22"/>
        </w:rPr>
        <w:t xml:space="preserve"> </w:t>
      </w:r>
      <w:r>
        <w:rPr>
          <w:rFonts w:ascii="Times New Roman" w:eastAsia="宋体"/>
          <w:szCs w:val="22"/>
        </w:rPr>
        <w:t>mL</w:t>
      </w:r>
      <w:r>
        <w:rPr>
          <w:rFonts w:ascii="Times New Roman" w:eastAsia="宋体"/>
          <w:szCs w:val="22"/>
        </w:rPr>
        <w:t>。</w:t>
      </w:r>
    </w:p>
    <w:p w:rsidR="009E517D" w:rsidRDefault="000614CB">
      <w:pPr>
        <w:pStyle w:val="a0"/>
        <w:numPr>
          <w:ilvl w:val="2"/>
          <w:numId w:val="3"/>
        </w:numPr>
        <w:tabs>
          <w:tab w:val="left" w:pos="360"/>
        </w:tabs>
        <w:snapToGrid w:val="0"/>
        <w:spacing w:beforeLines="0" w:afterLines="0"/>
        <w:ind w:left="10" w:hanging="10"/>
        <w:outlineLvl w:val="9"/>
        <w:rPr>
          <w:rFonts w:ascii="Times New Roman"/>
          <w:szCs w:val="22"/>
        </w:rPr>
      </w:pPr>
      <w:r>
        <w:rPr>
          <w:rFonts w:ascii="Times New Roman" w:eastAsia="宋体"/>
          <w:szCs w:val="22"/>
        </w:rPr>
        <w:t>离心机：转速可达</w:t>
      </w:r>
      <w:r>
        <w:rPr>
          <w:rFonts w:ascii="Times New Roman" w:eastAsia="宋体"/>
          <w:szCs w:val="22"/>
        </w:rPr>
        <w:t>4000 r</w:t>
      </w:r>
      <w:r>
        <w:rPr>
          <w:rFonts w:ascii="Times New Roman" w:eastAsia="宋体" w:hint="eastAsia"/>
          <w:szCs w:val="22"/>
        </w:rPr>
        <w:t>/</w:t>
      </w:r>
      <w:r>
        <w:rPr>
          <w:rFonts w:ascii="Times New Roman" w:eastAsia="宋体"/>
          <w:szCs w:val="22"/>
        </w:rPr>
        <w:t>m</w:t>
      </w:r>
      <w:r>
        <w:rPr>
          <w:rFonts w:ascii="Times New Roman" w:eastAsia="宋体" w:hint="eastAsia"/>
          <w:szCs w:val="22"/>
        </w:rPr>
        <w:t>in</w:t>
      </w:r>
      <w:r>
        <w:rPr>
          <w:rFonts w:ascii="Times New Roman" w:eastAsia="宋体"/>
          <w:szCs w:val="22"/>
        </w:rPr>
        <w:t>以上。</w:t>
      </w:r>
    </w:p>
    <w:p w:rsidR="009E517D" w:rsidRDefault="000614CB">
      <w:pPr>
        <w:pStyle w:val="a"/>
        <w:numPr>
          <w:ilvl w:val="1"/>
          <w:numId w:val="3"/>
        </w:numPr>
        <w:spacing w:before="156" w:after="156"/>
        <w:ind w:left="0"/>
        <w:outlineLvl w:val="1"/>
        <w:rPr>
          <w:rFonts w:ascii="Times New Roman"/>
        </w:rPr>
      </w:pPr>
      <w:r>
        <w:rPr>
          <w:rFonts w:ascii="Times New Roman"/>
        </w:rPr>
        <w:t>仪器</w:t>
      </w:r>
    </w:p>
    <w:p w:rsidR="009E517D" w:rsidRDefault="000614CB">
      <w:pPr>
        <w:pStyle w:val="a0"/>
        <w:numPr>
          <w:ilvl w:val="2"/>
          <w:numId w:val="3"/>
        </w:numPr>
        <w:snapToGrid w:val="0"/>
        <w:spacing w:beforeLines="0" w:afterLines="0"/>
        <w:ind w:left="10" w:hanging="10"/>
        <w:outlineLvl w:val="2"/>
        <w:rPr>
          <w:rFonts w:ascii="Times New Roman" w:eastAsia="宋体"/>
          <w:szCs w:val="22"/>
        </w:rPr>
      </w:pPr>
      <w:r>
        <w:rPr>
          <w:rFonts w:ascii="Times New Roman" w:eastAsia="宋体"/>
          <w:szCs w:val="22"/>
        </w:rPr>
        <w:t>读数仪：产品配套可使用的检测仪器（可选）。</w:t>
      </w:r>
    </w:p>
    <w:p w:rsidR="009E517D" w:rsidRDefault="000614CB">
      <w:pPr>
        <w:pStyle w:val="a0"/>
        <w:numPr>
          <w:ilvl w:val="2"/>
          <w:numId w:val="3"/>
        </w:numPr>
        <w:spacing w:beforeLines="0" w:afterLines="0"/>
        <w:ind w:left="10" w:hanging="10"/>
        <w:outlineLvl w:val="2"/>
        <w:rPr>
          <w:rFonts w:ascii="Times New Roman" w:eastAsia="宋体"/>
          <w:szCs w:val="22"/>
        </w:rPr>
      </w:pPr>
      <w:r>
        <w:rPr>
          <w:rFonts w:ascii="Times New Roman" w:eastAsia="宋体"/>
          <w:szCs w:val="22"/>
        </w:rPr>
        <w:t>环境条件：温度</w:t>
      </w:r>
      <w:r>
        <w:rPr>
          <w:rFonts w:ascii="Times New Roman" w:eastAsia="宋体"/>
          <w:szCs w:val="22"/>
        </w:rPr>
        <w:t>10-40</w:t>
      </w:r>
      <w:r>
        <w:rPr>
          <w:rFonts w:ascii="宋体" w:eastAsia="宋体" w:hAnsi="宋体" w:cs="宋体" w:hint="eastAsia"/>
          <w:szCs w:val="22"/>
        </w:rPr>
        <w:t>℃</w:t>
      </w:r>
      <w:r>
        <w:rPr>
          <w:rFonts w:ascii="Times New Roman" w:eastAsia="宋体"/>
          <w:szCs w:val="22"/>
        </w:rPr>
        <w:t>，相对湿度</w:t>
      </w:r>
      <w:r>
        <w:rPr>
          <w:rFonts w:ascii="宋体" w:eastAsia="宋体" w:hAnsi="宋体" w:cs="宋体" w:hint="eastAsia"/>
          <w:szCs w:val="22"/>
        </w:rPr>
        <w:t>≤</w:t>
      </w:r>
      <w:r>
        <w:rPr>
          <w:rFonts w:ascii="Times New Roman" w:eastAsia="宋体"/>
          <w:szCs w:val="22"/>
        </w:rPr>
        <w:t>80%</w:t>
      </w:r>
      <w:r>
        <w:rPr>
          <w:rFonts w:ascii="Times New Roman" w:eastAsia="宋体"/>
          <w:szCs w:val="22"/>
        </w:rPr>
        <w:t>。</w:t>
      </w:r>
    </w:p>
    <w:p w:rsidR="009E517D" w:rsidRDefault="000614CB">
      <w:pPr>
        <w:pStyle w:val="ad"/>
        <w:numPr>
          <w:ilvl w:val="0"/>
          <w:numId w:val="3"/>
        </w:numPr>
        <w:tabs>
          <w:tab w:val="right" w:leader="dot" w:pos="8844"/>
        </w:tabs>
        <w:spacing w:beforeLines="50" w:before="156" w:afterLines="50" w:after="156"/>
        <w:outlineLvl w:val="0"/>
        <w:rPr>
          <w:rFonts w:ascii="Times New Roman"/>
          <w:szCs w:val="22"/>
        </w:rPr>
      </w:pPr>
      <w:bookmarkStart w:id="15" w:name="_Toc13284_WPSOffice_Level1"/>
      <w:bookmarkStart w:id="16" w:name="_Toc535_WPSOffice_Level2"/>
      <w:r>
        <w:rPr>
          <w:rFonts w:ascii="Times New Roman"/>
          <w:szCs w:val="22"/>
        </w:rPr>
        <w:t>分析步骤</w:t>
      </w:r>
      <w:bookmarkEnd w:id="15"/>
      <w:bookmarkEnd w:id="16"/>
    </w:p>
    <w:p w:rsidR="009E517D" w:rsidRDefault="000614CB">
      <w:pPr>
        <w:pStyle w:val="a"/>
        <w:numPr>
          <w:ilvl w:val="1"/>
          <w:numId w:val="3"/>
        </w:numPr>
        <w:spacing w:before="156" w:after="156"/>
        <w:ind w:left="0"/>
        <w:outlineLvl w:val="1"/>
        <w:rPr>
          <w:rFonts w:ascii="Times New Roman"/>
        </w:rPr>
      </w:pPr>
      <w:bookmarkStart w:id="17" w:name="_Toc27215_WPSOffice_Level1"/>
      <w:bookmarkStart w:id="18" w:name="_Toc535_WPSOffice_Level3"/>
      <w:r>
        <w:rPr>
          <w:rFonts w:ascii="Times New Roman"/>
        </w:rPr>
        <w:t>试样制备</w:t>
      </w:r>
      <w:bookmarkEnd w:id="17"/>
      <w:bookmarkEnd w:id="18"/>
    </w:p>
    <w:p w:rsidR="009E517D" w:rsidRDefault="000614CB">
      <w:pPr>
        <w:ind w:firstLineChars="200" w:firstLine="420"/>
        <w:rPr>
          <w:szCs w:val="21"/>
        </w:rPr>
      </w:pPr>
      <w:r>
        <w:rPr>
          <w:szCs w:val="21"/>
        </w:rPr>
        <w:t>液体样品充分混匀，固体样品充分粉碎混匀。</w:t>
      </w:r>
    </w:p>
    <w:p w:rsidR="009E517D" w:rsidRDefault="000614CB">
      <w:pPr>
        <w:pStyle w:val="a"/>
        <w:numPr>
          <w:ilvl w:val="1"/>
          <w:numId w:val="3"/>
        </w:numPr>
        <w:spacing w:before="156" w:after="156"/>
        <w:ind w:left="0"/>
        <w:outlineLvl w:val="1"/>
        <w:rPr>
          <w:rFonts w:ascii="Times New Roman"/>
        </w:rPr>
      </w:pPr>
      <w:bookmarkStart w:id="19" w:name="_Toc31177_WPSOffice_Level1"/>
      <w:bookmarkStart w:id="20" w:name="_Toc25374_WPSOffice_Level3"/>
      <w:r>
        <w:rPr>
          <w:rFonts w:ascii="Times New Roman"/>
        </w:rPr>
        <w:t>试样提取和净化</w:t>
      </w:r>
      <w:bookmarkEnd w:id="19"/>
      <w:bookmarkEnd w:id="20"/>
    </w:p>
    <w:p w:rsidR="009E517D" w:rsidRDefault="000614CB">
      <w:pPr>
        <w:pStyle w:val="a0"/>
        <w:numPr>
          <w:ilvl w:val="2"/>
          <w:numId w:val="3"/>
        </w:numPr>
        <w:spacing w:beforeLines="0" w:afterLines="0" w:line="360" w:lineRule="auto"/>
        <w:ind w:left="430" w:hanging="430"/>
        <w:outlineLvl w:val="2"/>
        <w:rPr>
          <w:rFonts w:ascii="Times New Roman"/>
          <w:szCs w:val="22"/>
        </w:rPr>
      </w:pPr>
      <w:r>
        <w:rPr>
          <w:rFonts w:ascii="Times New Roman" w:eastAsia="宋体"/>
          <w:szCs w:val="22"/>
        </w:rPr>
        <w:t>液体基质</w:t>
      </w:r>
    </w:p>
    <w:p w:rsidR="009E517D" w:rsidRDefault="000614CB">
      <w:pPr>
        <w:pStyle w:val="a0"/>
        <w:numPr>
          <w:ilvl w:val="255"/>
          <w:numId w:val="0"/>
        </w:numPr>
        <w:spacing w:beforeLines="0" w:afterLines="0"/>
        <w:ind w:firstLineChars="200" w:firstLine="420"/>
        <w:outlineLvl w:val="9"/>
        <w:rPr>
          <w:rFonts w:ascii="Times New Roman"/>
        </w:rPr>
      </w:pPr>
      <w:r>
        <w:rPr>
          <w:rFonts w:ascii="Times New Roman" w:eastAsia="宋体"/>
          <w:kern w:val="2"/>
        </w:rPr>
        <w:lastRenderedPageBreak/>
        <w:t>量取</w:t>
      </w:r>
      <w:r>
        <w:rPr>
          <w:rFonts w:ascii="Times New Roman" w:eastAsia="宋体"/>
          <w:kern w:val="2"/>
        </w:rPr>
        <w:t>0.5 mL±0.02 mL</w:t>
      </w:r>
      <w:r>
        <w:rPr>
          <w:rFonts w:ascii="Times New Roman" w:eastAsia="宋体"/>
          <w:kern w:val="2"/>
        </w:rPr>
        <w:t>试样于</w:t>
      </w:r>
      <w:r>
        <w:rPr>
          <w:rFonts w:ascii="Times New Roman" w:eastAsia="宋体"/>
          <w:kern w:val="2"/>
        </w:rPr>
        <w:t>15 mL</w:t>
      </w:r>
      <w:r>
        <w:rPr>
          <w:rFonts w:ascii="Times New Roman" w:eastAsia="宋体"/>
          <w:kern w:val="2"/>
        </w:rPr>
        <w:t>离心管中，加入</w:t>
      </w:r>
      <w:r>
        <w:rPr>
          <w:rFonts w:ascii="Times New Roman" w:eastAsia="宋体"/>
          <w:kern w:val="2"/>
        </w:rPr>
        <w:t xml:space="preserve">4 </w:t>
      </w:r>
      <w:r>
        <w:rPr>
          <w:rFonts w:ascii="Times New Roman" w:eastAsia="宋体"/>
          <w:kern w:val="2"/>
        </w:rPr>
        <w:t>mL</w:t>
      </w:r>
      <w:r>
        <w:rPr>
          <w:rFonts w:ascii="Times New Roman" w:eastAsia="宋体"/>
          <w:kern w:val="2"/>
        </w:rPr>
        <w:t>缓冲液（</w:t>
      </w:r>
      <w:r>
        <w:rPr>
          <w:rFonts w:ascii="Times New Roman" w:eastAsia="宋体"/>
          <w:kern w:val="2"/>
        </w:rPr>
        <w:t>3.1.6</w:t>
      </w:r>
      <w:r>
        <w:rPr>
          <w:rFonts w:ascii="Times New Roman" w:eastAsia="宋体"/>
          <w:kern w:val="2"/>
        </w:rPr>
        <w:t>），涡旋混合</w:t>
      </w:r>
      <w:r>
        <w:rPr>
          <w:rFonts w:ascii="Times New Roman" w:eastAsia="宋体"/>
          <w:kern w:val="2"/>
        </w:rPr>
        <w:t>30 s</w:t>
      </w:r>
      <w:r>
        <w:rPr>
          <w:rFonts w:ascii="Times New Roman" w:eastAsia="宋体"/>
          <w:kern w:val="2"/>
        </w:rPr>
        <w:t>，作为待测液。</w:t>
      </w:r>
    </w:p>
    <w:p w:rsidR="009E517D" w:rsidRDefault="000614CB">
      <w:pPr>
        <w:pStyle w:val="a0"/>
        <w:numPr>
          <w:ilvl w:val="2"/>
          <w:numId w:val="3"/>
        </w:numPr>
        <w:spacing w:beforeLines="0" w:afterLines="0" w:line="360" w:lineRule="auto"/>
        <w:ind w:left="420" w:hangingChars="200" w:hanging="420"/>
        <w:outlineLvl w:val="9"/>
        <w:rPr>
          <w:rFonts w:ascii="Times New Roman"/>
          <w:szCs w:val="22"/>
        </w:rPr>
      </w:pPr>
      <w:r>
        <w:rPr>
          <w:rFonts w:ascii="Times New Roman" w:eastAsia="宋体"/>
          <w:szCs w:val="22"/>
        </w:rPr>
        <w:t>固体基质</w:t>
      </w:r>
    </w:p>
    <w:p w:rsidR="009E517D" w:rsidRDefault="000614CB">
      <w:pPr>
        <w:pStyle w:val="1"/>
        <w:numPr>
          <w:ilvl w:val="3"/>
          <w:numId w:val="3"/>
        </w:numPr>
        <w:ind w:firstLineChars="0"/>
        <w:rPr>
          <w:kern w:val="0"/>
          <w:szCs w:val="20"/>
        </w:rPr>
      </w:pPr>
      <w:r>
        <w:rPr>
          <w:kern w:val="0"/>
          <w:szCs w:val="20"/>
        </w:rPr>
        <w:t>检测西地那非</w:t>
      </w:r>
    </w:p>
    <w:p w:rsidR="009E517D" w:rsidRDefault="000614CB">
      <w:pPr>
        <w:pStyle w:val="1"/>
        <w:rPr>
          <w:kern w:val="0"/>
          <w:szCs w:val="20"/>
        </w:rPr>
      </w:pPr>
      <w:r>
        <w:rPr>
          <w:kern w:val="0"/>
          <w:szCs w:val="20"/>
        </w:rPr>
        <w:t>准确称取试样</w:t>
      </w:r>
      <w:r>
        <w:rPr>
          <w:kern w:val="0"/>
          <w:szCs w:val="20"/>
        </w:rPr>
        <w:t>0.5 g±0.01 g</w:t>
      </w:r>
      <w:r>
        <w:rPr>
          <w:kern w:val="0"/>
          <w:szCs w:val="20"/>
        </w:rPr>
        <w:t>于</w:t>
      </w:r>
      <w:r>
        <w:rPr>
          <w:kern w:val="0"/>
          <w:szCs w:val="20"/>
        </w:rPr>
        <w:t>15 mL</w:t>
      </w:r>
      <w:r>
        <w:rPr>
          <w:kern w:val="0"/>
          <w:szCs w:val="20"/>
        </w:rPr>
        <w:t>离心管中，加</w:t>
      </w:r>
      <w:r>
        <w:rPr>
          <w:kern w:val="0"/>
          <w:szCs w:val="20"/>
        </w:rPr>
        <w:t>1 mL</w:t>
      </w:r>
      <w:r>
        <w:rPr>
          <w:kern w:val="0"/>
          <w:szCs w:val="20"/>
        </w:rPr>
        <w:t>甲醇（</w:t>
      </w:r>
      <w:r>
        <w:rPr>
          <w:kern w:val="0"/>
          <w:szCs w:val="20"/>
        </w:rPr>
        <w:t>3.1.1</w:t>
      </w:r>
      <w:r>
        <w:rPr>
          <w:kern w:val="0"/>
          <w:szCs w:val="20"/>
        </w:rPr>
        <w:t>），涡旋</w:t>
      </w:r>
      <w:r>
        <w:rPr>
          <w:kern w:val="0"/>
          <w:szCs w:val="20"/>
        </w:rPr>
        <w:t>30 s</w:t>
      </w:r>
      <w:r>
        <w:rPr>
          <w:kern w:val="0"/>
          <w:szCs w:val="20"/>
        </w:rPr>
        <w:t>，</w:t>
      </w:r>
      <w:r>
        <w:rPr>
          <w:kern w:val="0"/>
          <w:szCs w:val="20"/>
        </w:rPr>
        <w:t>4000 rpm</w:t>
      </w:r>
      <w:r>
        <w:rPr>
          <w:kern w:val="0"/>
          <w:szCs w:val="20"/>
        </w:rPr>
        <w:t>离心</w:t>
      </w:r>
      <w:r>
        <w:rPr>
          <w:kern w:val="0"/>
          <w:szCs w:val="20"/>
        </w:rPr>
        <w:t>2 min</w:t>
      </w:r>
      <w:r>
        <w:rPr>
          <w:kern w:val="0"/>
          <w:szCs w:val="20"/>
        </w:rPr>
        <w:t>或静置</w:t>
      </w:r>
      <w:r>
        <w:rPr>
          <w:kern w:val="0"/>
          <w:szCs w:val="20"/>
        </w:rPr>
        <w:t>2 min</w:t>
      </w:r>
      <w:r>
        <w:rPr>
          <w:kern w:val="0"/>
          <w:szCs w:val="20"/>
        </w:rPr>
        <w:t>。取</w:t>
      </w:r>
      <w:r>
        <w:rPr>
          <w:kern w:val="0"/>
          <w:szCs w:val="20"/>
        </w:rPr>
        <w:t>250 µL</w:t>
      </w:r>
      <w:r>
        <w:rPr>
          <w:kern w:val="0"/>
          <w:szCs w:val="20"/>
        </w:rPr>
        <w:t>上清液于</w:t>
      </w:r>
      <w:r>
        <w:rPr>
          <w:kern w:val="0"/>
          <w:szCs w:val="20"/>
        </w:rPr>
        <w:t>2 mL</w:t>
      </w:r>
      <w:r>
        <w:rPr>
          <w:kern w:val="0"/>
          <w:szCs w:val="20"/>
        </w:rPr>
        <w:t>离心管中，加入</w:t>
      </w:r>
      <w:r>
        <w:rPr>
          <w:kern w:val="0"/>
          <w:szCs w:val="20"/>
        </w:rPr>
        <w:t>750 µL</w:t>
      </w:r>
      <w:r>
        <w:rPr>
          <w:kern w:val="0"/>
          <w:szCs w:val="20"/>
        </w:rPr>
        <w:t>缓冲液（</w:t>
      </w:r>
      <w:r>
        <w:rPr>
          <w:kern w:val="0"/>
          <w:szCs w:val="20"/>
        </w:rPr>
        <w:t>3.1.6</w:t>
      </w:r>
      <w:r>
        <w:rPr>
          <w:kern w:val="0"/>
          <w:szCs w:val="20"/>
        </w:rPr>
        <w:t>），涡旋混合</w:t>
      </w:r>
      <w:r>
        <w:rPr>
          <w:kern w:val="0"/>
          <w:szCs w:val="20"/>
        </w:rPr>
        <w:t>30s</w:t>
      </w:r>
      <w:r>
        <w:rPr>
          <w:kern w:val="0"/>
          <w:szCs w:val="20"/>
        </w:rPr>
        <w:t>，作为待测液。</w:t>
      </w:r>
    </w:p>
    <w:p w:rsidR="009E517D" w:rsidRDefault="000614CB">
      <w:pPr>
        <w:pStyle w:val="1"/>
        <w:numPr>
          <w:ilvl w:val="3"/>
          <w:numId w:val="3"/>
        </w:numPr>
        <w:ind w:firstLineChars="0"/>
        <w:rPr>
          <w:kern w:val="0"/>
          <w:szCs w:val="20"/>
        </w:rPr>
      </w:pPr>
      <w:r>
        <w:rPr>
          <w:kern w:val="0"/>
          <w:szCs w:val="20"/>
        </w:rPr>
        <w:t>检测他达拉非</w:t>
      </w:r>
    </w:p>
    <w:p w:rsidR="009E517D" w:rsidRDefault="000614CB">
      <w:pPr>
        <w:pStyle w:val="1"/>
        <w:rPr>
          <w:kern w:val="0"/>
          <w:szCs w:val="20"/>
        </w:rPr>
      </w:pPr>
      <w:r>
        <w:rPr>
          <w:kern w:val="0"/>
          <w:szCs w:val="20"/>
        </w:rPr>
        <w:t>准确称取试样</w:t>
      </w:r>
      <w:r>
        <w:rPr>
          <w:kern w:val="0"/>
          <w:szCs w:val="20"/>
        </w:rPr>
        <w:t>0.5 g±0.01 g</w:t>
      </w:r>
      <w:r>
        <w:rPr>
          <w:kern w:val="0"/>
          <w:szCs w:val="20"/>
        </w:rPr>
        <w:t>于</w:t>
      </w:r>
      <w:r>
        <w:rPr>
          <w:kern w:val="0"/>
          <w:szCs w:val="20"/>
        </w:rPr>
        <w:t>15 mL</w:t>
      </w:r>
      <w:r>
        <w:rPr>
          <w:kern w:val="0"/>
          <w:szCs w:val="20"/>
        </w:rPr>
        <w:t>离心管中，加</w:t>
      </w:r>
      <w:r>
        <w:rPr>
          <w:kern w:val="0"/>
          <w:szCs w:val="20"/>
        </w:rPr>
        <w:t>1 mL</w:t>
      </w:r>
      <w:r>
        <w:rPr>
          <w:kern w:val="0"/>
          <w:szCs w:val="20"/>
        </w:rPr>
        <w:t>甲醇（</w:t>
      </w:r>
      <w:r>
        <w:rPr>
          <w:kern w:val="0"/>
          <w:szCs w:val="20"/>
        </w:rPr>
        <w:t>3.1.1</w:t>
      </w:r>
      <w:r>
        <w:rPr>
          <w:kern w:val="0"/>
          <w:szCs w:val="20"/>
        </w:rPr>
        <w:t>），涡旋</w:t>
      </w:r>
      <w:r>
        <w:rPr>
          <w:kern w:val="0"/>
          <w:szCs w:val="20"/>
        </w:rPr>
        <w:t>30 s</w:t>
      </w:r>
      <w:r>
        <w:rPr>
          <w:kern w:val="0"/>
          <w:szCs w:val="20"/>
        </w:rPr>
        <w:t>，</w:t>
      </w:r>
      <w:r>
        <w:rPr>
          <w:kern w:val="0"/>
          <w:szCs w:val="20"/>
        </w:rPr>
        <w:t>4000 rpm</w:t>
      </w:r>
      <w:r>
        <w:rPr>
          <w:kern w:val="0"/>
          <w:szCs w:val="20"/>
        </w:rPr>
        <w:t>离心</w:t>
      </w:r>
      <w:r>
        <w:rPr>
          <w:kern w:val="0"/>
          <w:szCs w:val="20"/>
        </w:rPr>
        <w:t>2 min</w:t>
      </w:r>
      <w:r>
        <w:rPr>
          <w:kern w:val="0"/>
          <w:szCs w:val="20"/>
        </w:rPr>
        <w:t>或静置</w:t>
      </w:r>
      <w:r>
        <w:rPr>
          <w:kern w:val="0"/>
          <w:szCs w:val="20"/>
        </w:rPr>
        <w:t>2 min</w:t>
      </w:r>
      <w:r>
        <w:rPr>
          <w:kern w:val="0"/>
          <w:szCs w:val="20"/>
        </w:rPr>
        <w:t>。取</w:t>
      </w:r>
      <w:r>
        <w:rPr>
          <w:kern w:val="0"/>
          <w:szCs w:val="20"/>
        </w:rPr>
        <w:t>200</w:t>
      </w:r>
      <w:r>
        <w:rPr>
          <w:kern w:val="0"/>
          <w:szCs w:val="20"/>
        </w:rPr>
        <w:t xml:space="preserve"> µL</w:t>
      </w:r>
      <w:r>
        <w:rPr>
          <w:kern w:val="0"/>
          <w:szCs w:val="20"/>
        </w:rPr>
        <w:t>上清液于</w:t>
      </w:r>
      <w:r>
        <w:rPr>
          <w:kern w:val="0"/>
          <w:szCs w:val="20"/>
        </w:rPr>
        <w:t>15 mL</w:t>
      </w:r>
      <w:r>
        <w:rPr>
          <w:kern w:val="0"/>
          <w:szCs w:val="20"/>
        </w:rPr>
        <w:t>离心管中，加入</w:t>
      </w:r>
      <w:r>
        <w:rPr>
          <w:kern w:val="0"/>
          <w:szCs w:val="20"/>
        </w:rPr>
        <w:t>3 mL</w:t>
      </w:r>
      <w:r>
        <w:rPr>
          <w:kern w:val="0"/>
          <w:szCs w:val="20"/>
        </w:rPr>
        <w:t>缓冲液（</w:t>
      </w:r>
      <w:r>
        <w:rPr>
          <w:kern w:val="0"/>
          <w:szCs w:val="20"/>
        </w:rPr>
        <w:t>3.1.6</w:t>
      </w:r>
      <w:r>
        <w:rPr>
          <w:kern w:val="0"/>
          <w:szCs w:val="20"/>
        </w:rPr>
        <w:t>），涡旋混合</w:t>
      </w:r>
      <w:r>
        <w:rPr>
          <w:kern w:val="0"/>
          <w:szCs w:val="20"/>
        </w:rPr>
        <w:t>30 s</w:t>
      </w:r>
      <w:r>
        <w:rPr>
          <w:kern w:val="0"/>
          <w:szCs w:val="20"/>
        </w:rPr>
        <w:t>，作为待测液。</w:t>
      </w:r>
    </w:p>
    <w:p w:rsidR="009E517D" w:rsidRDefault="000614CB">
      <w:pPr>
        <w:ind w:firstLineChars="200" w:firstLine="360"/>
        <w:rPr>
          <w:sz w:val="18"/>
          <w:szCs w:val="18"/>
        </w:rPr>
      </w:pPr>
      <w:r>
        <w:rPr>
          <w:rFonts w:ascii="黑体" w:eastAsia="黑体" w:hAnsi="黑体" w:cs="黑体" w:hint="eastAsia"/>
          <w:sz w:val="18"/>
          <w:szCs w:val="18"/>
        </w:rPr>
        <w:t>注：试样提取和净化（</w:t>
      </w:r>
      <w:r>
        <w:rPr>
          <w:rFonts w:ascii="黑体" w:eastAsia="黑体" w:hAnsi="黑体" w:cs="黑体" w:hint="eastAsia"/>
          <w:sz w:val="18"/>
          <w:szCs w:val="18"/>
        </w:rPr>
        <w:t>5.2</w:t>
      </w:r>
      <w:r>
        <w:rPr>
          <w:rFonts w:ascii="黑体" w:eastAsia="黑体" w:hAnsi="黑体" w:cs="黑体" w:hint="eastAsia"/>
          <w:sz w:val="18"/>
          <w:szCs w:val="18"/>
        </w:rPr>
        <w:t>）过程可按照试剂盒说明书操作，不做限定。</w:t>
      </w:r>
    </w:p>
    <w:p w:rsidR="009E517D" w:rsidRDefault="000614CB">
      <w:pPr>
        <w:pStyle w:val="a"/>
        <w:numPr>
          <w:ilvl w:val="1"/>
          <w:numId w:val="3"/>
        </w:numPr>
        <w:spacing w:before="156" w:after="156"/>
        <w:ind w:left="0"/>
        <w:outlineLvl w:val="1"/>
        <w:rPr>
          <w:rFonts w:ascii="Times New Roman"/>
        </w:rPr>
      </w:pPr>
      <w:bookmarkStart w:id="21" w:name="_Toc28379_WPSOffice_Level1"/>
      <w:bookmarkStart w:id="22" w:name="_Toc6647_WPSOffice_Level3"/>
      <w:r>
        <w:rPr>
          <w:rFonts w:ascii="Times New Roman"/>
        </w:rPr>
        <w:t>测定步骤</w:t>
      </w:r>
      <w:bookmarkEnd w:id="21"/>
      <w:bookmarkEnd w:id="22"/>
    </w:p>
    <w:p w:rsidR="009E517D" w:rsidRDefault="000614CB">
      <w:pPr>
        <w:pStyle w:val="a0"/>
        <w:numPr>
          <w:ilvl w:val="2"/>
          <w:numId w:val="3"/>
        </w:numPr>
        <w:spacing w:beforeLines="0" w:afterLines="0" w:line="440" w:lineRule="exact"/>
        <w:ind w:left="283" w:hangingChars="135" w:hanging="283"/>
        <w:outlineLvl w:val="2"/>
        <w:rPr>
          <w:rFonts w:ascii="Times New Roman"/>
          <w:szCs w:val="20"/>
        </w:rPr>
      </w:pPr>
      <w:r>
        <w:rPr>
          <w:rFonts w:ascii="Times New Roman" w:eastAsia="宋体"/>
          <w:szCs w:val="20"/>
        </w:rPr>
        <w:t>试纸条与金标微孔测定步骤</w:t>
      </w:r>
    </w:p>
    <w:p w:rsidR="009E517D" w:rsidRDefault="000614CB">
      <w:pPr>
        <w:ind w:firstLineChars="200" w:firstLine="420"/>
        <w:rPr>
          <w:szCs w:val="21"/>
        </w:rPr>
      </w:pPr>
      <w:r>
        <w:rPr>
          <w:szCs w:val="21"/>
        </w:rPr>
        <w:t>吸取</w:t>
      </w:r>
      <w:r>
        <w:rPr>
          <w:szCs w:val="21"/>
        </w:rPr>
        <w:t>200 µL</w:t>
      </w:r>
      <w:r>
        <w:rPr>
          <w:szCs w:val="21"/>
        </w:rPr>
        <w:t>样品待测液于金标微孔中，抽吸</w:t>
      </w:r>
      <w:r>
        <w:rPr>
          <w:szCs w:val="21"/>
        </w:rPr>
        <w:t>5</w:t>
      </w:r>
      <w:r>
        <w:rPr>
          <w:rFonts w:hint="eastAsia"/>
          <w:szCs w:val="21"/>
        </w:rPr>
        <w:t>~</w:t>
      </w:r>
      <w:r>
        <w:rPr>
          <w:szCs w:val="21"/>
        </w:rPr>
        <w:t>10</w:t>
      </w:r>
      <w:r>
        <w:rPr>
          <w:szCs w:val="21"/>
        </w:rPr>
        <w:t>次使混合均匀，室温</w:t>
      </w:r>
      <w:proofErr w:type="gramStart"/>
      <w:r>
        <w:rPr>
          <w:szCs w:val="21"/>
        </w:rPr>
        <w:t>温</w:t>
      </w:r>
      <w:proofErr w:type="gramEnd"/>
      <w:r>
        <w:rPr>
          <w:szCs w:val="21"/>
        </w:rPr>
        <w:t>育</w:t>
      </w:r>
      <w:r>
        <w:rPr>
          <w:szCs w:val="21"/>
        </w:rPr>
        <w:t>5 min</w:t>
      </w:r>
      <w:r>
        <w:rPr>
          <w:szCs w:val="21"/>
        </w:rPr>
        <w:t>；温</w:t>
      </w:r>
      <w:proofErr w:type="gramStart"/>
      <w:r>
        <w:rPr>
          <w:szCs w:val="21"/>
        </w:rPr>
        <w:t>育结束</w:t>
      </w:r>
      <w:proofErr w:type="gramEnd"/>
      <w:r>
        <w:rPr>
          <w:szCs w:val="21"/>
        </w:rPr>
        <w:t>后，将试纸条吸水海绵端垂直向下插入金标微孔中，室温</w:t>
      </w:r>
      <w:proofErr w:type="gramStart"/>
      <w:r>
        <w:rPr>
          <w:szCs w:val="21"/>
        </w:rPr>
        <w:t>温</w:t>
      </w:r>
      <w:proofErr w:type="gramEnd"/>
      <w:r>
        <w:rPr>
          <w:szCs w:val="21"/>
        </w:rPr>
        <w:t>育</w:t>
      </w:r>
      <w:r>
        <w:rPr>
          <w:szCs w:val="21"/>
        </w:rPr>
        <w:t>5 min</w:t>
      </w:r>
      <w:r>
        <w:rPr>
          <w:szCs w:val="21"/>
        </w:rPr>
        <w:t>，从微孔中取出试纸条，去掉试纸条下端的吸水海绵，进行结果判定。</w:t>
      </w:r>
    </w:p>
    <w:p w:rsidR="009E517D" w:rsidRDefault="000614CB">
      <w:pPr>
        <w:ind w:firstLineChars="200" w:firstLine="360"/>
        <w:rPr>
          <w:sz w:val="18"/>
          <w:szCs w:val="18"/>
        </w:rPr>
      </w:pPr>
      <w:r>
        <w:rPr>
          <w:rFonts w:ascii="黑体" w:eastAsia="黑体" w:hAnsi="黑体" w:cs="黑体" w:hint="eastAsia"/>
          <w:sz w:val="18"/>
          <w:szCs w:val="18"/>
        </w:rPr>
        <w:t>注：测定步骤建议按照试剂盒说明书。</w:t>
      </w:r>
    </w:p>
    <w:p w:rsidR="009E517D" w:rsidRDefault="000614CB">
      <w:pPr>
        <w:pStyle w:val="a0"/>
        <w:numPr>
          <w:ilvl w:val="2"/>
          <w:numId w:val="3"/>
        </w:numPr>
        <w:spacing w:beforeLines="0" w:afterLines="0" w:line="440" w:lineRule="exact"/>
        <w:ind w:left="283" w:hangingChars="135" w:hanging="283"/>
        <w:outlineLvl w:val="2"/>
        <w:rPr>
          <w:rFonts w:ascii="Times New Roman"/>
          <w:szCs w:val="20"/>
        </w:rPr>
      </w:pPr>
      <w:r>
        <w:rPr>
          <w:rFonts w:ascii="Times New Roman" w:eastAsia="宋体"/>
          <w:szCs w:val="20"/>
        </w:rPr>
        <w:t>检测卡与金标微孔测定步骤</w:t>
      </w:r>
    </w:p>
    <w:p w:rsidR="009E517D" w:rsidRDefault="000614CB">
      <w:pPr>
        <w:ind w:firstLineChars="200" w:firstLine="420"/>
        <w:rPr>
          <w:szCs w:val="21"/>
        </w:rPr>
      </w:pPr>
      <w:r>
        <w:rPr>
          <w:szCs w:val="21"/>
        </w:rPr>
        <w:t>吸取</w:t>
      </w:r>
      <w:r>
        <w:rPr>
          <w:szCs w:val="21"/>
        </w:rPr>
        <w:t xml:space="preserve">200 </w:t>
      </w:r>
      <w:proofErr w:type="spellStart"/>
      <w:r>
        <w:rPr>
          <w:szCs w:val="21"/>
        </w:rPr>
        <w:t>μL</w:t>
      </w:r>
      <w:proofErr w:type="spellEnd"/>
      <w:r>
        <w:rPr>
          <w:szCs w:val="21"/>
        </w:rPr>
        <w:t>上述待测</w:t>
      </w:r>
      <w:r>
        <w:rPr>
          <w:szCs w:val="21"/>
        </w:rPr>
        <w:t>液于金标微孔中，上下抽吸</w:t>
      </w:r>
      <w:r>
        <w:rPr>
          <w:szCs w:val="21"/>
        </w:rPr>
        <w:t>5</w:t>
      </w:r>
      <w:r>
        <w:rPr>
          <w:rFonts w:hint="eastAsia"/>
          <w:szCs w:val="21"/>
        </w:rPr>
        <w:t>~</w:t>
      </w:r>
      <w:r>
        <w:rPr>
          <w:szCs w:val="21"/>
        </w:rPr>
        <w:t>10</w:t>
      </w:r>
      <w:r>
        <w:rPr>
          <w:szCs w:val="21"/>
        </w:rPr>
        <w:t>次使混合均匀。室温</w:t>
      </w:r>
      <w:proofErr w:type="gramStart"/>
      <w:r>
        <w:rPr>
          <w:szCs w:val="21"/>
        </w:rPr>
        <w:t>温</w:t>
      </w:r>
      <w:proofErr w:type="gramEnd"/>
      <w:r>
        <w:rPr>
          <w:szCs w:val="21"/>
        </w:rPr>
        <w:t>育</w:t>
      </w:r>
      <w:r>
        <w:rPr>
          <w:szCs w:val="21"/>
        </w:rPr>
        <w:t>5 min</w:t>
      </w:r>
      <w:r>
        <w:rPr>
          <w:szCs w:val="21"/>
        </w:rPr>
        <w:t>，将反应液全部加入到检测卡的加样孔中，将金标微孔中全部</w:t>
      </w:r>
      <w:proofErr w:type="gramStart"/>
      <w:r>
        <w:rPr>
          <w:szCs w:val="21"/>
        </w:rPr>
        <w:t>溶</w:t>
      </w:r>
      <w:proofErr w:type="gramEnd"/>
      <w:r>
        <w:rPr>
          <w:szCs w:val="21"/>
        </w:rPr>
        <w:t>液滴加到检测卡上的加样孔中，温育</w:t>
      </w:r>
      <w:r>
        <w:rPr>
          <w:szCs w:val="21"/>
        </w:rPr>
        <w:t>5 min</w:t>
      </w:r>
      <w:r>
        <w:rPr>
          <w:szCs w:val="21"/>
        </w:rPr>
        <w:t>，进行结果判定。</w:t>
      </w:r>
    </w:p>
    <w:p w:rsidR="009E517D" w:rsidRDefault="000614CB">
      <w:pPr>
        <w:ind w:firstLineChars="200" w:firstLine="360"/>
        <w:rPr>
          <w:rFonts w:ascii="黑体" w:eastAsia="黑体" w:hAnsi="黑体" w:cs="黑体"/>
          <w:sz w:val="18"/>
          <w:szCs w:val="18"/>
        </w:rPr>
      </w:pPr>
      <w:r>
        <w:rPr>
          <w:rFonts w:ascii="黑体" w:eastAsia="黑体" w:hAnsi="黑体" w:cs="黑体" w:hint="eastAsia"/>
          <w:sz w:val="18"/>
          <w:szCs w:val="18"/>
        </w:rPr>
        <w:t>注：测定步骤建议按照试剂盒说明书。</w:t>
      </w:r>
    </w:p>
    <w:p w:rsidR="009E517D" w:rsidRDefault="000614CB">
      <w:pPr>
        <w:pStyle w:val="a"/>
        <w:numPr>
          <w:ilvl w:val="1"/>
          <w:numId w:val="3"/>
        </w:numPr>
        <w:spacing w:before="156" w:after="156"/>
        <w:ind w:left="0"/>
        <w:outlineLvl w:val="1"/>
        <w:rPr>
          <w:rFonts w:ascii="Times New Roman"/>
        </w:rPr>
      </w:pPr>
      <w:bookmarkStart w:id="23" w:name="_Toc4111_WPSOffice_Level3"/>
      <w:bookmarkStart w:id="24" w:name="_Toc12825_WPSOffice_Level1"/>
      <w:r>
        <w:rPr>
          <w:rFonts w:ascii="Times New Roman"/>
        </w:rPr>
        <w:t>质控试验</w:t>
      </w:r>
      <w:bookmarkEnd w:id="23"/>
      <w:bookmarkEnd w:id="24"/>
    </w:p>
    <w:p w:rsidR="009E517D" w:rsidRDefault="000614CB">
      <w:pPr>
        <w:ind w:firstLineChars="200" w:firstLine="420"/>
        <w:rPr>
          <w:szCs w:val="21"/>
        </w:rPr>
      </w:pPr>
      <w:r>
        <w:rPr>
          <w:szCs w:val="21"/>
        </w:rPr>
        <w:t>每批样品应同时进行空白试验和</w:t>
      </w:r>
      <w:proofErr w:type="gramStart"/>
      <w:r>
        <w:rPr>
          <w:szCs w:val="21"/>
        </w:rPr>
        <w:t>加标质控</w:t>
      </w:r>
      <w:proofErr w:type="gramEnd"/>
      <w:r>
        <w:rPr>
          <w:szCs w:val="21"/>
        </w:rPr>
        <w:t>试验。</w:t>
      </w:r>
    </w:p>
    <w:p w:rsidR="009E517D" w:rsidRDefault="000614CB">
      <w:pPr>
        <w:pStyle w:val="a0"/>
        <w:numPr>
          <w:ilvl w:val="2"/>
          <w:numId w:val="3"/>
        </w:numPr>
        <w:spacing w:beforeLines="0" w:afterLines="0"/>
        <w:ind w:left="283" w:hangingChars="135" w:hanging="283"/>
        <w:outlineLvl w:val="2"/>
        <w:rPr>
          <w:rFonts w:ascii="Times New Roman"/>
          <w:szCs w:val="20"/>
        </w:rPr>
      </w:pPr>
      <w:r>
        <w:rPr>
          <w:rFonts w:ascii="Times New Roman" w:eastAsia="宋体"/>
          <w:szCs w:val="20"/>
        </w:rPr>
        <w:t>空白试验</w:t>
      </w:r>
    </w:p>
    <w:p w:rsidR="009E517D" w:rsidRDefault="000614CB">
      <w:pPr>
        <w:ind w:firstLineChars="200" w:firstLine="420"/>
        <w:rPr>
          <w:szCs w:val="21"/>
        </w:rPr>
      </w:pPr>
      <w:r>
        <w:rPr>
          <w:szCs w:val="21"/>
        </w:rPr>
        <w:t>准确称取固体空白试样</w:t>
      </w:r>
      <w:r>
        <w:rPr>
          <w:szCs w:val="21"/>
        </w:rPr>
        <w:t>0.5 g±0.01 g</w:t>
      </w:r>
      <w:r>
        <w:rPr>
          <w:szCs w:val="21"/>
        </w:rPr>
        <w:t>或量取液体空白试样</w:t>
      </w:r>
      <w:r>
        <w:rPr>
          <w:szCs w:val="21"/>
        </w:rPr>
        <w:t>0.5 mL±0.02 mL</w:t>
      </w:r>
      <w:r>
        <w:rPr>
          <w:szCs w:val="21"/>
        </w:rPr>
        <w:t>于</w:t>
      </w:r>
      <w:r>
        <w:rPr>
          <w:szCs w:val="21"/>
        </w:rPr>
        <w:t>15 mL</w:t>
      </w:r>
      <w:r>
        <w:rPr>
          <w:szCs w:val="21"/>
        </w:rPr>
        <w:t>离心管中，按照</w:t>
      </w:r>
      <w:r>
        <w:rPr>
          <w:szCs w:val="21"/>
        </w:rPr>
        <w:t>5.2</w:t>
      </w:r>
      <w:r>
        <w:rPr>
          <w:szCs w:val="21"/>
        </w:rPr>
        <w:t>和</w:t>
      </w:r>
      <w:r>
        <w:rPr>
          <w:szCs w:val="21"/>
        </w:rPr>
        <w:t>5.3</w:t>
      </w:r>
      <w:r>
        <w:rPr>
          <w:szCs w:val="21"/>
        </w:rPr>
        <w:t>步骤与试样同法操作。</w:t>
      </w:r>
    </w:p>
    <w:p w:rsidR="009E517D" w:rsidRDefault="000614CB">
      <w:pPr>
        <w:pStyle w:val="a0"/>
        <w:numPr>
          <w:ilvl w:val="2"/>
          <w:numId w:val="3"/>
        </w:numPr>
        <w:spacing w:beforeLines="0" w:afterLines="0"/>
        <w:ind w:left="283" w:hangingChars="135" w:hanging="283"/>
        <w:outlineLvl w:val="2"/>
        <w:rPr>
          <w:rFonts w:ascii="Times New Roman"/>
          <w:szCs w:val="20"/>
        </w:rPr>
      </w:pPr>
      <w:proofErr w:type="gramStart"/>
      <w:r>
        <w:rPr>
          <w:rFonts w:ascii="Times New Roman" w:eastAsia="宋体"/>
          <w:szCs w:val="20"/>
        </w:rPr>
        <w:t>加标质控</w:t>
      </w:r>
      <w:proofErr w:type="gramEnd"/>
      <w:r>
        <w:rPr>
          <w:rFonts w:ascii="Times New Roman" w:eastAsia="宋体"/>
          <w:szCs w:val="20"/>
        </w:rPr>
        <w:t>试验</w:t>
      </w:r>
    </w:p>
    <w:p w:rsidR="009E517D" w:rsidRDefault="000614CB">
      <w:pPr>
        <w:ind w:firstLineChars="200" w:firstLine="420"/>
        <w:rPr>
          <w:szCs w:val="21"/>
        </w:rPr>
      </w:pPr>
      <w:r>
        <w:rPr>
          <w:szCs w:val="21"/>
        </w:rPr>
        <w:t>准确称取固体空白试样</w:t>
      </w:r>
      <w:r>
        <w:rPr>
          <w:szCs w:val="21"/>
        </w:rPr>
        <w:t xml:space="preserve">0.5 g±0.01 </w:t>
      </w:r>
      <w:r>
        <w:rPr>
          <w:szCs w:val="21"/>
        </w:rPr>
        <w:t>g</w:t>
      </w:r>
      <w:r>
        <w:rPr>
          <w:szCs w:val="21"/>
        </w:rPr>
        <w:t>或量取液体空白试样</w:t>
      </w:r>
      <w:r>
        <w:rPr>
          <w:szCs w:val="21"/>
        </w:rPr>
        <w:t>0.5 mL±0.02 mL</w:t>
      </w:r>
      <w:r>
        <w:rPr>
          <w:szCs w:val="21"/>
        </w:rPr>
        <w:t>于</w:t>
      </w:r>
      <w:r>
        <w:rPr>
          <w:szCs w:val="21"/>
        </w:rPr>
        <w:t>15 mL</w:t>
      </w:r>
      <w:r>
        <w:rPr>
          <w:szCs w:val="21"/>
        </w:rPr>
        <w:t>离心管中，加入适量标准工作液（</w:t>
      </w:r>
      <w:r>
        <w:rPr>
          <w:szCs w:val="21"/>
        </w:rPr>
        <w:t>3.3.2</w:t>
      </w:r>
      <w:r>
        <w:rPr>
          <w:szCs w:val="21"/>
        </w:rPr>
        <w:t>），使西地那非参考物质浓度为</w:t>
      </w:r>
      <w:r>
        <w:rPr>
          <w:szCs w:val="21"/>
        </w:rPr>
        <w:t>1.0 µg/g</w:t>
      </w:r>
      <w:r>
        <w:rPr>
          <w:szCs w:val="21"/>
        </w:rPr>
        <w:t>或</w:t>
      </w:r>
      <w:r>
        <w:rPr>
          <w:szCs w:val="21"/>
        </w:rPr>
        <w:t>1.0 µg/mL</w:t>
      </w:r>
      <w:r>
        <w:rPr>
          <w:szCs w:val="21"/>
        </w:rPr>
        <w:t>，按照</w:t>
      </w:r>
      <w:r>
        <w:rPr>
          <w:szCs w:val="21"/>
        </w:rPr>
        <w:t>5.2</w:t>
      </w:r>
      <w:r>
        <w:rPr>
          <w:szCs w:val="21"/>
        </w:rPr>
        <w:t>和</w:t>
      </w:r>
      <w:r>
        <w:rPr>
          <w:szCs w:val="21"/>
        </w:rPr>
        <w:t>5.3</w:t>
      </w:r>
      <w:r>
        <w:rPr>
          <w:szCs w:val="21"/>
        </w:rPr>
        <w:t>步骤与试样同法操作。</w:t>
      </w:r>
    </w:p>
    <w:p w:rsidR="009E517D" w:rsidRDefault="000614CB">
      <w:pPr>
        <w:ind w:firstLineChars="200" w:firstLine="420"/>
        <w:rPr>
          <w:szCs w:val="21"/>
        </w:rPr>
      </w:pPr>
      <w:r>
        <w:rPr>
          <w:szCs w:val="21"/>
        </w:rPr>
        <w:t>准确称取固体空白试样</w:t>
      </w:r>
      <w:r>
        <w:rPr>
          <w:szCs w:val="21"/>
        </w:rPr>
        <w:t>0.5 g±0.01 g</w:t>
      </w:r>
      <w:r>
        <w:rPr>
          <w:szCs w:val="21"/>
        </w:rPr>
        <w:t>或液体空白试样</w:t>
      </w:r>
      <w:r>
        <w:rPr>
          <w:szCs w:val="21"/>
        </w:rPr>
        <w:t>0.5 mL±0.02 mL</w:t>
      </w:r>
      <w:r>
        <w:rPr>
          <w:szCs w:val="21"/>
        </w:rPr>
        <w:t>于</w:t>
      </w:r>
      <w:r>
        <w:rPr>
          <w:szCs w:val="21"/>
        </w:rPr>
        <w:t>15 mL</w:t>
      </w:r>
      <w:r>
        <w:rPr>
          <w:szCs w:val="21"/>
        </w:rPr>
        <w:t>离心管中，加入适量标准工作液（</w:t>
      </w:r>
      <w:r>
        <w:rPr>
          <w:szCs w:val="21"/>
        </w:rPr>
        <w:t>3.3.4</w:t>
      </w:r>
      <w:r>
        <w:rPr>
          <w:szCs w:val="21"/>
        </w:rPr>
        <w:t>），使他</w:t>
      </w:r>
      <w:proofErr w:type="gramStart"/>
      <w:r>
        <w:rPr>
          <w:szCs w:val="21"/>
        </w:rPr>
        <w:t>达拉非参考</w:t>
      </w:r>
      <w:proofErr w:type="gramEnd"/>
      <w:r>
        <w:rPr>
          <w:szCs w:val="21"/>
        </w:rPr>
        <w:t>物质浓度为</w:t>
      </w:r>
      <w:r>
        <w:rPr>
          <w:szCs w:val="21"/>
        </w:rPr>
        <w:t>1.0 µg/g</w:t>
      </w:r>
      <w:r>
        <w:rPr>
          <w:szCs w:val="21"/>
        </w:rPr>
        <w:t>或</w:t>
      </w:r>
      <w:r>
        <w:rPr>
          <w:szCs w:val="21"/>
        </w:rPr>
        <w:t>1.0 µg/mL</w:t>
      </w:r>
      <w:r>
        <w:rPr>
          <w:szCs w:val="21"/>
        </w:rPr>
        <w:t>，按照</w:t>
      </w:r>
      <w:r>
        <w:rPr>
          <w:szCs w:val="21"/>
        </w:rPr>
        <w:t>5.2</w:t>
      </w:r>
      <w:r>
        <w:rPr>
          <w:szCs w:val="21"/>
        </w:rPr>
        <w:t>和</w:t>
      </w:r>
      <w:r>
        <w:rPr>
          <w:szCs w:val="21"/>
        </w:rPr>
        <w:t>5.3</w:t>
      </w:r>
      <w:r>
        <w:rPr>
          <w:szCs w:val="21"/>
        </w:rPr>
        <w:t>步骤与试样同法操作。</w:t>
      </w:r>
    </w:p>
    <w:p w:rsidR="009E517D" w:rsidRDefault="000614CB">
      <w:pPr>
        <w:pStyle w:val="ad"/>
        <w:numPr>
          <w:ilvl w:val="0"/>
          <w:numId w:val="3"/>
        </w:numPr>
        <w:spacing w:beforeLines="50" w:before="156" w:afterLines="50" w:after="156"/>
        <w:rPr>
          <w:rFonts w:ascii="Times New Roman"/>
          <w:color w:val="000000"/>
        </w:rPr>
      </w:pPr>
      <w:bookmarkStart w:id="25" w:name="_Toc6705_WPSOffice_Level1"/>
      <w:r>
        <w:rPr>
          <w:rFonts w:ascii="Times New Roman"/>
          <w:color w:val="000000"/>
        </w:rPr>
        <w:t>结果判定</w:t>
      </w:r>
    </w:p>
    <w:p w:rsidR="009E517D" w:rsidRDefault="000614CB">
      <w:pPr>
        <w:widowControl/>
        <w:tabs>
          <w:tab w:val="center" w:pos="4201"/>
          <w:tab w:val="right" w:leader="dot" w:pos="9298"/>
        </w:tabs>
        <w:autoSpaceDE w:val="0"/>
        <w:autoSpaceDN w:val="0"/>
        <w:ind w:firstLineChars="200" w:firstLine="420"/>
        <w:rPr>
          <w:kern w:val="0"/>
          <w:szCs w:val="20"/>
        </w:rPr>
      </w:pPr>
      <w:r>
        <w:rPr>
          <w:kern w:val="0"/>
          <w:szCs w:val="20"/>
        </w:rPr>
        <w:lastRenderedPageBreak/>
        <w:t>通过对比控制线（</w:t>
      </w:r>
      <w:r>
        <w:rPr>
          <w:kern w:val="0"/>
          <w:szCs w:val="20"/>
        </w:rPr>
        <w:t>C</w:t>
      </w:r>
      <w:r>
        <w:rPr>
          <w:kern w:val="0"/>
          <w:szCs w:val="20"/>
        </w:rPr>
        <w:t>线）和检测线（</w:t>
      </w:r>
      <w:r>
        <w:rPr>
          <w:kern w:val="0"/>
          <w:szCs w:val="20"/>
        </w:rPr>
        <w:t>T</w:t>
      </w:r>
      <w:r>
        <w:rPr>
          <w:kern w:val="0"/>
          <w:szCs w:val="20"/>
        </w:rPr>
        <w:t>线）的颜色</w:t>
      </w:r>
      <w:r>
        <w:rPr>
          <w:kern w:val="0"/>
          <w:szCs w:val="20"/>
        </w:rPr>
        <w:t>深浅进行结果判定。目视判定示意图见图</w:t>
      </w:r>
      <w:r>
        <w:rPr>
          <w:kern w:val="0"/>
          <w:szCs w:val="20"/>
        </w:rPr>
        <w:t>1</w:t>
      </w:r>
      <w:r>
        <w:rPr>
          <w:kern w:val="0"/>
          <w:szCs w:val="20"/>
        </w:rPr>
        <w:t>。结果判定也可根据产品说明书进行。</w:t>
      </w:r>
    </w:p>
    <w:p w:rsidR="009E517D" w:rsidRDefault="000614CB">
      <w:pPr>
        <w:pStyle w:val="a"/>
        <w:numPr>
          <w:ilvl w:val="1"/>
          <w:numId w:val="3"/>
        </w:numPr>
        <w:spacing w:before="156" w:after="156"/>
        <w:ind w:left="0"/>
        <w:rPr>
          <w:rFonts w:ascii="Times New Roman"/>
        </w:rPr>
      </w:pPr>
      <w:r>
        <w:rPr>
          <w:rFonts w:ascii="Times New Roman"/>
        </w:rPr>
        <w:t>无效</w:t>
      </w:r>
    </w:p>
    <w:p w:rsidR="009E517D" w:rsidRDefault="000614CB">
      <w:pPr>
        <w:widowControl/>
        <w:tabs>
          <w:tab w:val="center" w:pos="4201"/>
          <w:tab w:val="right" w:leader="dot" w:pos="9298"/>
        </w:tabs>
        <w:autoSpaceDE w:val="0"/>
        <w:autoSpaceDN w:val="0"/>
        <w:ind w:firstLineChars="200" w:firstLine="420"/>
        <w:rPr>
          <w:kern w:val="0"/>
          <w:szCs w:val="20"/>
        </w:rPr>
      </w:pPr>
      <w:r>
        <w:rPr>
          <w:kern w:val="0"/>
          <w:szCs w:val="20"/>
        </w:rPr>
        <w:t>控制线（</w:t>
      </w:r>
      <w:r>
        <w:rPr>
          <w:kern w:val="0"/>
          <w:szCs w:val="20"/>
        </w:rPr>
        <w:t>C</w:t>
      </w:r>
      <w:r>
        <w:rPr>
          <w:kern w:val="0"/>
          <w:szCs w:val="20"/>
        </w:rPr>
        <w:t>线）不显色，表明不正确操作或试纸条无效。</w:t>
      </w:r>
    </w:p>
    <w:p w:rsidR="009E517D" w:rsidRDefault="000614CB">
      <w:pPr>
        <w:pStyle w:val="a"/>
        <w:numPr>
          <w:ilvl w:val="1"/>
          <w:numId w:val="3"/>
        </w:numPr>
        <w:spacing w:before="156" w:after="156"/>
        <w:ind w:left="0"/>
        <w:rPr>
          <w:rFonts w:ascii="Times New Roman"/>
        </w:rPr>
      </w:pPr>
      <w:r>
        <w:rPr>
          <w:rFonts w:ascii="Times New Roman"/>
        </w:rPr>
        <w:t>阴性结果</w:t>
      </w:r>
    </w:p>
    <w:p w:rsidR="009E517D" w:rsidRDefault="000614CB">
      <w:pPr>
        <w:widowControl/>
        <w:tabs>
          <w:tab w:val="center" w:pos="4201"/>
          <w:tab w:val="right" w:leader="dot" w:pos="9298"/>
        </w:tabs>
        <w:autoSpaceDE w:val="0"/>
        <w:autoSpaceDN w:val="0"/>
        <w:ind w:firstLineChars="200" w:firstLine="420"/>
        <w:rPr>
          <w:kern w:val="0"/>
          <w:szCs w:val="20"/>
        </w:rPr>
      </w:pPr>
      <w:r>
        <w:t>控制线（</w:t>
      </w:r>
      <w:r>
        <w:t>C</w:t>
      </w:r>
      <w:r>
        <w:t>线）显色，检测线（</w:t>
      </w:r>
      <w:r>
        <w:t>T</w:t>
      </w:r>
      <w:r>
        <w:t>线）颜色比控制线（</w:t>
      </w:r>
      <w:r>
        <w:t>C</w:t>
      </w:r>
      <w:r>
        <w:t>线）颜色深或检测线（</w:t>
      </w:r>
      <w:r>
        <w:t>T</w:t>
      </w:r>
      <w:r>
        <w:t>线）颜色与控制线（</w:t>
      </w:r>
      <w:r>
        <w:t>C</w:t>
      </w:r>
      <w:r>
        <w:t>线）颜色相当，均表示样品中不含待测组分或含量低于方法检测限，判为阴性。</w:t>
      </w:r>
    </w:p>
    <w:p w:rsidR="009E517D" w:rsidRDefault="000614CB">
      <w:pPr>
        <w:pStyle w:val="a"/>
        <w:numPr>
          <w:ilvl w:val="1"/>
          <w:numId w:val="3"/>
        </w:numPr>
        <w:spacing w:before="156" w:after="156"/>
        <w:ind w:left="0"/>
        <w:rPr>
          <w:rFonts w:ascii="Times New Roman"/>
        </w:rPr>
      </w:pPr>
      <w:r>
        <w:rPr>
          <w:rFonts w:ascii="Times New Roman"/>
        </w:rPr>
        <w:t>阳性结果</w:t>
      </w:r>
    </w:p>
    <w:p w:rsidR="009E517D" w:rsidRDefault="000614CB">
      <w:pPr>
        <w:widowControl/>
        <w:tabs>
          <w:tab w:val="center" w:pos="4201"/>
          <w:tab w:val="right" w:leader="dot" w:pos="9298"/>
        </w:tabs>
        <w:autoSpaceDE w:val="0"/>
        <w:autoSpaceDN w:val="0"/>
        <w:ind w:firstLineChars="200" w:firstLine="420"/>
        <w:rPr>
          <w:kern w:val="0"/>
          <w:szCs w:val="20"/>
        </w:rPr>
      </w:pPr>
      <w:r>
        <w:t>控制线（</w:t>
      </w:r>
      <w:r>
        <w:t>C</w:t>
      </w:r>
      <w:r>
        <w:t>线）显色，检测线（</w:t>
      </w:r>
      <w:r>
        <w:t>T</w:t>
      </w:r>
      <w:r>
        <w:t>线）颜色比控制线（</w:t>
      </w:r>
      <w:r>
        <w:t>C</w:t>
      </w:r>
      <w:r>
        <w:t>线）颜色明显浅或检测线（</w:t>
      </w:r>
      <w:r>
        <w:t>T</w:t>
      </w:r>
      <w:r>
        <w:t>线）不显色，均表示样品中待测组分含量高于方法检测限，判为阳性。</w:t>
      </w:r>
    </w:p>
    <w:p w:rsidR="009E517D" w:rsidRDefault="000614CB">
      <w:pPr>
        <w:pStyle w:val="a"/>
        <w:numPr>
          <w:ilvl w:val="1"/>
          <w:numId w:val="3"/>
        </w:numPr>
        <w:spacing w:before="156" w:after="156"/>
        <w:ind w:left="0"/>
        <w:rPr>
          <w:rFonts w:ascii="Times New Roman"/>
        </w:rPr>
      </w:pPr>
      <w:r>
        <w:rPr>
          <w:rFonts w:ascii="Times New Roman"/>
        </w:rPr>
        <w:t>质</w:t>
      </w:r>
      <w:proofErr w:type="gramStart"/>
      <w:r>
        <w:rPr>
          <w:rFonts w:ascii="Times New Roman"/>
        </w:rPr>
        <w:t>控试验</w:t>
      </w:r>
      <w:proofErr w:type="gramEnd"/>
      <w:r>
        <w:rPr>
          <w:rFonts w:ascii="Times New Roman"/>
        </w:rPr>
        <w:t>要求</w:t>
      </w:r>
    </w:p>
    <w:p w:rsidR="009E517D" w:rsidRDefault="000614CB">
      <w:pPr>
        <w:widowControl/>
        <w:tabs>
          <w:tab w:val="center" w:pos="4201"/>
          <w:tab w:val="right" w:leader="dot" w:pos="9298"/>
        </w:tabs>
        <w:autoSpaceDE w:val="0"/>
        <w:autoSpaceDN w:val="0"/>
        <w:ind w:firstLineChars="200" w:firstLine="420"/>
        <w:rPr>
          <w:kern w:val="0"/>
          <w:szCs w:val="20"/>
        </w:rPr>
      </w:pPr>
      <w:r>
        <w:t>空白试验测定结果应为阴性，加</w:t>
      </w:r>
      <w:proofErr w:type="gramStart"/>
      <w:r>
        <w:t>标质控试验</w:t>
      </w:r>
      <w:proofErr w:type="gramEnd"/>
      <w:r>
        <w:rPr>
          <w:kern w:val="0"/>
          <w:szCs w:val="20"/>
        </w:rPr>
        <w:t>测定</w:t>
      </w:r>
      <w:r>
        <w:rPr>
          <w:kern w:val="0"/>
          <w:szCs w:val="20"/>
        </w:rPr>
        <w:t>结果应为阳性。</w:t>
      </w:r>
    </w:p>
    <w:p w:rsidR="009E517D" w:rsidRDefault="009E517D">
      <w:pPr>
        <w:pStyle w:val="aa"/>
        <w:ind w:firstLineChars="0" w:firstLine="0"/>
        <w:rPr>
          <w:rFonts w:ascii="Times New Roman" w:hAnsi="Times New Roman" w:cs="Times New Roman"/>
        </w:rPr>
      </w:pPr>
    </w:p>
    <w:p w:rsidR="009E517D" w:rsidRDefault="000614CB">
      <w:pPr>
        <w:pStyle w:val="aa"/>
        <w:ind w:firstLineChars="0" w:firstLine="0"/>
        <w:jc w:val="center"/>
        <w:rPr>
          <w:rFonts w:ascii="Times New Roman" w:hAnsi="Times New Roman" w:cs="Times New Roman"/>
        </w:rPr>
      </w:pPr>
      <w:r>
        <w:rPr>
          <w:rFonts w:ascii="Times New Roman" w:hAnsi="Times New Roman" w:cs="Times New Roman"/>
          <w:noProof/>
          <w:szCs w:val="21"/>
        </w:rPr>
        <w:drawing>
          <wp:inline distT="0" distB="0" distL="0" distR="0">
            <wp:extent cx="3007995" cy="2276475"/>
            <wp:effectExtent l="0" t="0" r="1905" b="9525"/>
            <wp:docPr id="5" name="图片 5" descr="比色法示意图-红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比色法示意图-红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007995" cy="2276475"/>
                    </a:xfrm>
                    <a:prstGeom prst="rect">
                      <a:avLst/>
                    </a:prstGeom>
                    <a:noFill/>
                    <a:ln>
                      <a:noFill/>
                    </a:ln>
                  </pic:spPr>
                </pic:pic>
              </a:graphicData>
            </a:graphic>
          </wp:inline>
        </w:drawing>
      </w:r>
    </w:p>
    <w:p w:rsidR="009E517D" w:rsidRDefault="000614CB">
      <w:pPr>
        <w:widowControl/>
        <w:tabs>
          <w:tab w:val="center" w:pos="4201"/>
          <w:tab w:val="right" w:leader="dot" w:pos="9298"/>
        </w:tabs>
        <w:autoSpaceDE w:val="0"/>
        <w:autoSpaceDN w:val="0"/>
        <w:ind w:firstLineChars="1750" w:firstLine="3150"/>
        <w:rPr>
          <w:kern w:val="0"/>
          <w:sz w:val="18"/>
          <w:szCs w:val="18"/>
        </w:rPr>
      </w:pPr>
      <w:r>
        <w:rPr>
          <w:kern w:val="0"/>
          <w:sz w:val="18"/>
          <w:szCs w:val="18"/>
        </w:rPr>
        <w:t>图</w:t>
      </w:r>
      <w:r>
        <w:rPr>
          <w:kern w:val="0"/>
          <w:sz w:val="18"/>
          <w:szCs w:val="18"/>
        </w:rPr>
        <w:t xml:space="preserve">1 </w:t>
      </w:r>
      <w:r>
        <w:rPr>
          <w:kern w:val="0"/>
          <w:sz w:val="18"/>
          <w:szCs w:val="18"/>
        </w:rPr>
        <w:t>目视判定示意图</w:t>
      </w:r>
    </w:p>
    <w:p w:rsidR="009E517D" w:rsidRDefault="000614CB">
      <w:pPr>
        <w:pStyle w:val="ad"/>
        <w:numPr>
          <w:ilvl w:val="0"/>
          <w:numId w:val="3"/>
        </w:numPr>
        <w:tabs>
          <w:tab w:val="right" w:leader="dot" w:pos="8844"/>
        </w:tabs>
        <w:spacing w:beforeLines="50" w:before="156" w:afterLines="50" w:after="156"/>
        <w:outlineLvl w:val="0"/>
        <w:rPr>
          <w:rFonts w:ascii="Times New Roman"/>
          <w:szCs w:val="22"/>
        </w:rPr>
      </w:pPr>
      <w:bookmarkStart w:id="26" w:name="_Toc5055_WPSOffice_Level1"/>
      <w:bookmarkEnd w:id="25"/>
      <w:r>
        <w:rPr>
          <w:rFonts w:ascii="Times New Roman"/>
          <w:szCs w:val="22"/>
        </w:rPr>
        <w:t>结论</w:t>
      </w:r>
      <w:bookmarkEnd w:id="26"/>
    </w:p>
    <w:p w:rsidR="009E517D" w:rsidRDefault="000614CB">
      <w:pPr>
        <w:ind w:firstLineChars="200" w:firstLine="420"/>
        <w:rPr>
          <w:szCs w:val="21"/>
        </w:rPr>
      </w:pPr>
      <w:r>
        <w:rPr>
          <w:szCs w:val="21"/>
        </w:rPr>
        <w:t>当检测结果为阳性时，应对结果进行确证。</w:t>
      </w:r>
    </w:p>
    <w:p w:rsidR="009E517D" w:rsidRDefault="000614CB">
      <w:pPr>
        <w:pStyle w:val="ad"/>
        <w:numPr>
          <w:ilvl w:val="0"/>
          <w:numId w:val="3"/>
        </w:numPr>
        <w:tabs>
          <w:tab w:val="right" w:leader="dot" w:pos="8844"/>
        </w:tabs>
        <w:spacing w:beforeLines="50" w:before="156" w:afterLines="50" w:after="156"/>
        <w:outlineLvl w:val="0"/>
        <w:rPr>
          <w:rFonts w:ascii="Times New Roman"/>
          <w:szCs w:val="22"/>
        </w:rPr>
      </w:pPr>
      <w:bookmarkStart w:id="27" w:name="_Toc28527_WPSOffice_Level1"/>
      <w:r>
        <w:rPr>
          <w:rFonts w:ascii="Times New Roman"/>
          <w:szCs w:val="22"/>
        </w:rPr>
        <w:t>性能指标</w:t>
      </w:r>
      <w:bookmarkStart w:id="28" w:name="_Toc22151_WPSOffice_Level1"/>
      <w:bookmarkStart w:id="29" w:name="_Toc31475_WPSOffice_Level3"/>
      <w:bookmarkEnd w:id="27"/>
    </w:p>
    <w:p w:rsidR="009E517D" w:rsidRDefault="000614CB">
      <w:pPr>
        <w:pStyle w:val="a"/>
        <w:numPr>
          <w:ilvl w:val="1"/>
          <w:numId w:val="3"/>
        </w:numPr>
        <w:spacing w:beforeLines="0" w:before="156" w:after="156"/>
        <w:ind w:left="0"/>
        <w:outlineLvl w:val="9"/>
        <w:rPr>
          <w:rFonts w:ascii="Times New Roman"/>
        </w:rPr>
      </w:pPr>
      <w:r>
        <w:rPr>
          <w:rFonts w:ascii="Times New Roman"/>
        </w:rPr>
        <w:t>检出限</w:t>
      </w:r>
      <w:bookmarkEnd w:id="28"/>
    </w:p>
    <w:p w:rsidR="009E517D" w:rsidRDefault="000614CB">
      <w:pPr>
        <w:ind w:firstLineChars="200" w:firstLine="420"/>
        <w:rPr>
          <w:szCs w:val="21"/>
        </w:rPr>
      </w:pPr>
      <w:r>
        <w:rPr>
          <w:szCs w:val="21"/>
        </w:rPr>
        <w:t>固体样品</w:t>
      </w:r>
      <w:r>
        <w:rPr>
          <w:szCs w:val="21"/>
        </w:rPr>
        <w:t xml:space="preserve">1.0 </w:t>
      </w:r>
      <w:proofErr w:type="spellStart"/>
      <w:r>
        <w:rPr>
          <w:szCs w:val="21"/>
        </w:rPr>
        <w:t>μg</w:t>
      </w:r>
      <w:proofErr w:type="spellEnd"/>
      <w:r>
        <w:rPr>
          <w:szCs w:val="21"/>
        </w:rPr>
        <w:t>/g</w:t>
      </w:r>
      <w:r>
        <w:rPr>
          <w:szCs w:val="21"/>
        </w:rPr>
        <w:t>，液体样品</w:t>
      </w:r>
      <w:r>
        <w:rPr>
          <w:szCs w:val="21"/>
        </w:rPr>
        <w:t xml:space="preserve">1.0 </w:t>
      </w:r>
      <w:proofErr w:type="spellStart"/>
      <w:r>
        <w:rPr>
          <w:szCs w:val="21"/>
        </w:rPr>
        <w:t>μg</w:t>
      </w:r>
      <w:proofErr w:type="spellEnd"/>
      <w:r>
        <w:rPr>
          <w:szCs w:val="21"/>
        </w:rPr>
        <w:t>/mL</w:t>
      </w:r>
      <w:r>
        <w:rPr>
          <w:szCs w:val="21"/>
        </w:rPr>
        <w:t>。</w:t>
      </w:r>
    </w:p>
    <w:p w:rsidR="009E517D" w:rsidRDefault="000614CB">
      <w:pPr>
        <w:pStyle w:val="a"/>
        <w:numPr>
          <w:ilvl w:val="1"/>
          <w:numId w:val="3"/>
        </w:numPr>
        <w:spacing w:beforeLines="0" w:before="156" w:after="156"/>
        <w:ind w:left="0"/>
        <w:outlineLvl w:val="9"/>
        <w:rPr>
          <w:rFonts w:ascii="Times New Roman"/>
        </w:rPr>
      </w:pPr>
      <w:bookmarkStart w:id="30" w:name="_Toc17848_WPSOffice_Level1"/>
      <w:bookmarkStart w:id="31" w:name="_Toc30891_WPSOffice_Level3"/>
      <w:bookmarkEnd w:id="29"/>
      <w:r>
        <w:rPr>
          <w:rFonts w:ascii="Times New Roman"/>
        </w:rPr>
        <w:t>灵敏度</w:t>
      </w:r>
      <w:bookmarkEnd w:id="30"/>
    </w:p>
    <w:p w:rsidR="009E517D" w:rsidRDefault="000614CB">
      <w:pPr>
        <w:ind w:firstLineChars="200" w:firstLine="420"/>
        <w:rPr>
          <w:szCs w:val="21"/>
        </w:rPr>
      </w:pPr>
      <w:r>
        <w:rPr>
          <w:szCs w:val="21"/>
        </w:rPr>
        <w:t>灵敏度</w:t>
      </w:r>
      <w:r>
        <w:rPr>
          <w:rFonts w:ascii="宋体" w:hAnsi="宋体" w:cs="宋体" w:hint="eastAsia"/>
          <w:szCs w:val="21"/>
        </w:rPr>
        <w:t>≥</w:t>
      </w:r>
      <w:r>
        <w:rPr>
          <w:szCs w:val="21"/>
        </w:rPr>
        <w:t>95%</w:t>
      </w:r>
      <w:r>
        <w:rPr>
          <w:szCs w:val="21"/>
        </w:rPr>
        <w:t>。</w:t>
      </w:r>
      <w:bookmarkEnd w:id="31"/>
    </w:p>
    <w:p w:rsidR="009E517D" w:rsidRDefault="000614CB">
      <w:pPr>
        <w:pStyle w:val="a"/>
        <w:numPr>
          <w:ilvl w:val="1"/>
          <w:numId w:val="3"/>
        </w:numPr>
        <w:spacing w:beforeLines="0" w:before="156" w:after="156"/>
        <w:ind w:left="0"/>
        <w:outlineLvl w:val="9"/>
        <w:rPr>
          <w:rFonts w:ascii="Times New Roman"/>
        </w:rPr>
      </w:pPr>
      <w:bookmarkStart w:id="32" w:name="_Toc4589_WPSOffice_Level1"/>
      <w:bookmarkStart w:id="33" w:name="_Toc60_WPSOffice_Level3"/>
      <w:r>
        <w:rPr>
          <w:rFonts w:ascii="Times New Roman"/>
        </w:rPr>
        <w:t>特异性</w:t>
      </w:r>
      <w:bookmarkEnd w:id="32"/>
    </w:p>
    <w:p w:rsidR="009E517D" w:rsidRDefault="000614CB">
      <w:pPr>
        <w:ind w:firstLineChars="200" w:firstLine="420"/>
        <w:rPr>
          <w:szCs w:val="21"/>
        </w:rPr>
      </w:pPr>
      <w:r>
        <w:rPr>
          <w:szCs w:val="21"/>
        </w:rPr>
        <w:lastRenderedPageBreak/>
        <w:t>特异性</w:t>
      </w:r>
      <w:r>
        <w:rPr>
          <w:rFonts w:ascii="宋体" w:hAnsi="宋体" w:cs="宋体" w:hint="eastAsia"/>
          <w:szCs w:val="21"/>
        </w:rPr>
        <w:t>≥</w:t>
      </w:r>
      <w:r>
        <w:rPr>
          <w:szCs w:val="21"/>
        </w:rPr>
        <w:t>90%</w:t>
      </w:r>
      <w:r>
        <w:rPr>
          <w:szCs w:val="21"/>
        </w:rPr>
        <w:t>。</w:t>
      </w:r>
      <w:bookmarkEnd w:id="33"/>
    </w:p>
    <w:p w:rsidR="009E517D" w:rsidRDefault="000614CB">
      <w:pPr>
        <w:pStyle w:val="a"/>
        <w:numPr>
          <w:ilvl w:val="1"/>
          <w:numId w:val="3"/>
        </w:numPr>
        <w:spacing w:beforeLines="0" w:before="156" w:after="156"/>
        <w:ind w:left="0"/>
        <w:outlineLvl w:val="9"/>
        <w:rPr>
          <w:rFonts w:ascii="Times New Roman"/>
        </w:rPr>
      </w:pPr>
      <w:bookmarkStart w:id="34" w:name="_Toc2661_WPSOffice_Level1"/>
      <w:bookmarkStart w:id="35" w:name="_Toc12941_WPSOffice_Level3"/>
      <w:r>
        <w:rPr>
          <w:rFonts w:ascii="Times New Roman"/>
        </w:rPr>
        <w:t>假阴性率</w:t>
      </w:r>
      <w:bookmarkEnd w:id="34"/>
    </w:p>
    <w:p w:rsidR="009E517D" w:rsidRDefault="000614CB">
      <w:pPr>
        <w:ind w:firstLineChars="200" w:firstLine="420"/>
        <w:rPr>
          <w:szCs w:val="21"/>
        </w:rPr>
      </w:pPr>
      <w:r>
        <w:rPr>
          <w:szCs w:val="21"/>
        </w:rPr>
        <w:t>假阴性率</w:t>
      </w:r>
      <w:r>
        <w:rPr>
          <w:rFonts w:ascii="宋体" w:hAnsi="宋体" w:cs="宋体" w:hint="eastAsia"/>
          <w:szCs w:val="21"/>
        </w:rPr>
        <w:t>≤</w:t>
      </w:r>
      <w:r>
        <w:rPr>
          <w:szCs w:val="21"/>
        </w:rPr>
        <w:t>5%</w:t>
      </w:r>
      <w:r>
        <w:rPr>
          <w:szCs w:val="21"/>
        </w:rPr>
        <w:t>。</w:t>
      </w:r>
      <w:bookmarkEnd w:id="35"/>
    </w:p>
    <w:p w:rsidR="009E517D" w:rsidRDefault="000614CB">
      <w:pPr>
        <w:pStyle w:val="a"/>
        <w:numPr>
          <w:ilvl w:val="1"/>
          <w:numId w:val="3"/>
        </w:numPr>
        <w:spacing w:beforeLines="0" w:before="156" w:after="156"/>
        <w:ind w:left="0"/>
        <w:outlineLvl w:val="9"/>
        <w:rPr>
          <w:rFonts w:ascii="Times New Roman"/>
        </w:rPr>
      </w:pPr>
      <w:bookmarkStart w:id="36" w:name="_Toc19045_WPSOffice_Level1"/>
      <w:bookmarkStart w:id="37" w:name="_Toc7932_WPSOffice_Level3"/>
      <w:r>
        <w:rPr>
          <w:rFonts w:ascii="Times New Roman"/>
        </w:rPr>
        <w:t>假阳性率</w:t>
      </w:r>
      <w:bookmarkEnd w:id="36"/>
    </w:p>
    <w:p w:rsidR="009E517D" w:rsidRDefault="000614CB">
      <w:pPr>
        <w:ind w:firstLineChars="200" w:firstLine="420"/>
        <w:rPr>
          <w:szCs w:val="21"/>
        </w:rPr>
      </w:pPr>
      <w:r>
        <w:rPr>
          <w:szCs w:val="21"/>
        </w:rPr>
        <w:t>假</w:t>
      </w:r>
      <w:r>
        <w:rPr>
          <w:rFonts w:hint="eastAsia"/>
          <w:szCs w:val="21"/>
        </w:rPr>
        <w:t>阳性率≤</w:t>
      </w:r>
      <w:r>
        <w:rPr>
          <w:rFonts w:hint="eastAsia"/>
          <w:szCs w:val="21"/>
        </w:rPr>
        <w:t>10%</w:t>
      </w:r>
      <w:r>
        <w:rPr>
          <w:rFonts w:hint="eastAsia"/>
          <w:szCs w:val="21"/>
        </w:rPr>
        <w:t>。</w:t>
      </w:r>
      <w:bookmarkEnd w:id="37"/>
    </w:p>
    <w:p w:rsidR="009E517D" w:rsidRDefault="000614CB">
      <w:pPr>
        <w:pStyle w:val="a"/>
        <w:numPr>
          <w:ilvl w:val="0"/>
          <w:numId w:val="0"/>
        </w:numPr>
        <w:spacing w:beforeLines="0" w:afterLines="0"/>
        <w:ind w:firstLineChars="200" w:firstLine="360"/>
        <w:jc w:val="both"/>
        <w:outlineLvl w:val="9"/>
        <w:rPr>
          <w:rFonts w:ascii="Times New Roman" w:eastAsia="宋体"/>
          <w:sz w:val="18"/>
          <w:szCs w:val="18"/>
        </w:rPr>
      </w:pPr>
      <w:r>
        <w:rPr>
          <w:rFonts w:hAnsi="黑体" w:cs="黑体" w:hint="eastAsia"/>
          <w:sz w:val="18"/>
          <w:szCs w:val="18"/>
        </w:rPr>
        <w:t>注：</w:t>
      </w:r>
      <w:r>
        <w:rPr>
          <w:rFonts w:ascii="Times New Roman" w:eastAsia="宋体"/>
          <w:sz w:val="18"/>
          <w:szCs w:val="18"/>
        </w:rPr>
        <w:t>性能指标计算方法见附录</w:t>
      </w:r>
      <w:r>
        <w:rPr>
          <w:rFonts w:ascii="Times New Roman" w:eastAsia="宋体"/>
          <w:sz w:val="18"/>
          <w:szCs w:val="18"/>
        </w:rPr>
        <w:t>A</w:t>
      </w:r>
      <w:r>
        <w:rPr>
          <w:rFonts w:ascii="Times New Roman" w:eastAsia="宋体"/>
          <w:sz w:val="18"/>
          <w:szCs w:val="18"/>
        </w:rPr>
        <w:t>。</w:t>
      </w:r>
    </w:p>
    <w:p w:rsidR="009E517D" w:rsidRDefault="000614CB">
      <w:pPr>
        <w:pStyle w:val="ad"/>
        <w:numPr>
          <w:ilvl w:val="0"/>
          <w:numId w:val="3"/>
        </w:numPr>
        <w:tabs>
          <w:tab w:val="right" w:leader="dot" w:pos="8844"/>
        </w:tabs>
        <w:spacing w:beforeLines="50" w:before="156" w:afterLines="50" w:after="156"/>
        <w:outlineLvl w:val="0"/>
        <w:rPr>
          <w:rFonts w:ascii="Times New Roman"/>
          <w:szCs w:val="22"/>
        </w:rPr>
      </w:pPr>
      <w:bookmarkStart w:id="38" w:name="_Toc3103_WPSOffice_Level1"/>
      <w:r>
        <w:rPr>
          <w:rFonts w:ascii="Times New Roman"/>
          <w:szCs w:val="22"/>
        </w:rPr>
        <w:t>其他</w:t>
      </w:r>
      <w:bookmarkEnd w:id="38"/>
    </w:p>
    <w:p w:rsidR="009E517D" w:rsidRDefault="000614CB">
      <w:pPr>
        <w:widowControl/>
        <w:tabs>
          <w:tab w:val="center" w:pos="4201"/>
          <w:tab w:val="right" w:leader="dot" w:pos="9298"/>
        </w:tabs>
        <w:autoSpaceDE w:val="0"/>
        <w:autoSpaceDN w:val="0"/>
        <w:ind w:firstLineChars="200" w:firstLine="420"/>
        <w:rPr>
          <w:kern w:val="0"/>
          <w:szCs w:val="20"/>
        </w:rPr>
      </w:pPr>
      <w:r>
        <w:rPr>
          <w:kern w:val="0"/>
          <w:szCs w:val="20"/>
        </w:rPr>
        <w:t>本方法分析步骤和结果判定可以根据厂家试剂盒的说明书进行，但应符合或优于本方法规定的性能指标。</w:t>
      </w:r>
    </w:p>
    <w:p w:rsidR="009E517D" w:rsidRDefault="000614CB">
      <w:pPr>
        <w:widowControl/>
        <w:tabs>
          <w:tab w:val="center" w:pos="4201"/>
          <w:tab w:val="right" w:leader="dot" w:pos="9298"/>
        </w:tabs>
        <w:autoSpaceDE w:val="0"/>
        <w:autoSpaceDN w:val="0"/>
        <w:ind w:firstLineChars="200" w:firstLine="420"/>
        <w:rPr>
          <w:kern w:val="0"/>
          <w:szCs w:val="20"/>
        </w:rPr>
      </w:pPr>
      <w:r>
        <w:rPr>
          <w:kern w:val="0"/>
          <w:szCs w:val="20"/>
        </w:rPr>
        <w:t>本方法所述试剂、试剂</w:t>
      </w:r>
      <w:proofErr w:type="gramStart"/>
      <w:r>
        <w:rPr>
          <w:kern w:val="0"/>
          <w:szCs w:val="20"/>
        </w:rPr>
        <w:t>盒信息</w:t>
      </w:r>
      <w:proofErr w:type="gramEnd"/>
      <w:r>
        <w:rPr>
          <w:kern w:val="0"/>
          <w:szCs w:val="20"/>
        </w:rPr>
        <w:t>及操作步骤是为给方法使用者提供方便，在使用本方法时不做限定。但方法使用者应使用经过验证的满足本方法规定的各项性能指标的试剂、试剂盒。</w:t>
      </w:r>
    </w:p>
    <w:p w:rsidR="009E517D" w:rsidRDefault="000614CB">
      <w:pPr>
        <w:widowControl/>
        <w:tabs>
          <w:tab w:val="center" w:pos="4201"/>
          <w:tab w:val="right" w:leader="dot" w:pos="9298"/>
        </w:tabs>
        <w:autoSpaceDE w:val="0"/>
        <w:autoSpaceDN w:val="0"/>
        <w:ind w:firstLineChars="200" w:firstLine="420"/>
        <w:rPr>
          <w:kern w:val="0"/>
          <w:szCs w:val="20"/>
        </w:rPr>
      </w:pPr>
      <w:r>
        <w:rPr>
          <w:kern w:val="0"/>
          <w:szCs w:val="20"/>
        </w:rPr>
        <w:t>本方法参比标准为食品补充检验方法</w:t>
      </w:r>
      <w:r>
        <w:rPr>
          <w:kern w:val="0"/>
          <w:szCs w:val="20"/>
        </w:rPr>
        <w:t>BJS201710</w:t>
      </w:r>
      <w:r>
        <w:rPr>
          <w:kern w:val="0"/>
          <w:szCs w:val="20"/>
        </w:rPr>
        <w:t>《保健食品中</w:t>
      </w:r>
      <w:r>
        <w:rPr>
          <w:kern w:val="0"/>
          <w:szCs w:val="20"/>
        </w:rPr>
        <w:t>75</w:t>
      </w:r>
      <w:r>
        <w:rPr>
          <w:kern w:val="0"/>
          <w:szCs w:val="20"/>
        </w:rPr>
        <w:t>种非法添加化学药物的检测》、药品检验补充检验方法</w:t>
      </w:r>
      <w:r>
        <w:rPr>
          <w:kern w:val="0"/>
          <w:szCs w:val="20"/>
        </w:rPr>
        <w:t>2009030</w:t>
      </w:r>
      <w:r>
        <w:rPr>
          <w:kern w:val="0"/>
          <w:szCs w:val="20"/>
        </w:rPr>
        <w:t>《补肾壮阳类中成药中</w:t>
      </w:r>
      <w:r>
        <w:rPr>
          <w:kern w:val="0"/>
          <w:szCs w:val="20"/>
        </w:rPr>
        <w:t>PDE-5</w:t>
      </w:r>
      <w:r>
        <w:rPr>
          <w:kern w:val="0"/>
          <w:szCs w:val="20"/>
        </w:rPr>
        <w:t>型抑制剂的快速检测方法》。</w:t>
      </w:r>
    </w:p>
    <w:p w:rsidR="009E517D" w:rsidRDefault="000614CB">
      <w:pPr>
        <w:widowControl/>
        <w:tabs>
          <w:tab w:val="center" w:pos="4201"/>
          <w:tab w:val="right" w:leader="dot" w:pos="9298"/>
        </w:tabs>
        <w:autoSpaceDE w:val="0"/>
        <w:autoSpaceDN w:val="0"/>
        <w:ind w:firstLineChars="200" w:firstLine="420"/>
        <w:rPr>
          <w:kern w:val="0"/>
          <w:szCs w:val="20"/>
        </w:rPr>
      </w:pPr>
      <w:r>
        <w:rPr>
          <w:kern w:val="0"/>
          <w:szCs w:val="20"/>
        </w:rPr>
        <w:t>本方法使用西地那非试剂盒可能与那莫西地那非、</w:t>
      </w:r>
      <w:proofErr w:type="gramStart"/>
      <w:r>
        <w:rPr>
          <w:kern w:val="0"/>
          <w:szCs w:val="20"/>
        </w:rPr>
        <w:t>豪莫西</w:t>
      </w:r>
      <w:proofErr w:type="gramEnd"/>
      <w:r>
        <w:rPr>
          <w:kern w:val="0"/>
          <w:szCs w:val="20"/>
        </w:rPr>
        <w:t>地那非、</w:t>
      </w:r>
      <w:proofErr w:type="gramStart"/>
      <w:r>
        <w:rPr>
          <w:kern w:val="0"/>
          <w:szCs w:val="20"/>
        </w:rPr>
        <w:t>羟基豪莫西</w:t>
      </w:r>
      <w:proofErr w:type="gramEnd"/>
      <w:r>
        <w:rPr>
          <w:kern w:val="0"/>
          <w:szCs w:val="20"/>
        </w:rPr>
        <w:t>地那非、</w:t>
      </w:r>
      <w:proofErr w:type="gramStart"/>
      <w:r>
        <w:rPr>
          <w:kern w:val="0"/>
          <w:szCs w:val="20"/>
        </w:rPr>
        <w:t>伪伐地那非</w:t>
      </w:r>
      <w:proofErr w:type="gramEnd"/>
      <w:r>
        <w:rPr>
          <w:kern w:val="0"/>
          <w:szCs w:val="20"/>
        </w:rPr>
        <w:t>、</w:t>
      </w:r>
      <w:proofErr w:type="gramStart"/>
      <w:r>
        <w:rPr>
          <w:kern w:val="0"/>
          <w:szCs w:val="20"/>
        </w:rPr>
        <w:t>伐地那非</w:t>
      </w:r>
      <w:proofErr w:type="gramEnd"/>
      <w:r>
        <w:rPr>
          <w:kern w:val="0"/>
          <w:szCs w:val="20"/>
        </w:rPr>
        <w:t>、</w:t>
      </w:r>
      <w:proofErr w:type="gramStart"/>
      <w:r>
        <w:rPr>
          <w:kern w:val="0"/>
          <w:szCs w:val="20"/>
        </w:rPr>
        <w:t>硫代艾地</w:t>
      </w:r>
      <w:proofErr w:type="gramEnd"/>
      <w:r>
        <w:rPr>
          <w:kern w:val="0"/>
          <w:szCs w:val="20"/>
        </w:rPr>
        <w:t>那非存在交叉反应；他达拉非试剂盒可能与氨基他达拉非、去甲基他</w:t>
      </w:r>
      <w:r>
        <w:rPr>
          <w:kern w:val="0"/>
          <w:szCs w:val="20"/>
        </w:rPr>
        <w:t>达拉非存在交叉反应；当结果判定为阳性应对结果进行确证。</w:t>
      </w:r>
    </w:p>
    <w:p w:rsidR="009E517D" w:rsidRDefault="009E517D">
      <w:pPr>
        <w:widowControl/>
        <w:tabs>
          <w:tab w:val="center" w:pos="4201"/>
          <w:tab w:val="right" w:leader="dot" w:pos="9298"/>
        </w:tabs>
        <w:autoSpaceDE w:val="0"/>
        <w:autoSpaceDN w:val="0"/>
        <w:ind w:firstLineChars="200" w:firstLine="420"/>
        <w:rPr>
          <w:kern w:val="0"/>
          <w:szCs w:val="20"/>
        </w:rPr>
        <w:sectPr w:rsidR="009E517D">
          <w:footerReference w:type="default" r:id="rId11"/>
          <w:type w:val="continuous"/>
          <w:pgSz w:w="11906" w:h="16838"/>
          <w:pgMar w:top="1928" w:right="1531" w:bottom="1814" w:left="1531" w:header="851" w:footer="1247" w:gutter="0"/>
          <w:pgNumType w:fmt="numberInDash" w:start="1"/>
          <w:cols w:space="425"/>
          <w:docGrid w:type="lines" w:linePitch="312"/>
        </w:sectPr>
      </w:pPr>
    </w:p>
    <w:p w:rsidR="009E517D" w:rsidRDefault="000614CB">
      <w:pPr>
        <w:spacing w:line="360" w:lineRule="auto"/>
        <w:rPr>
          <w:rFonts w:eastAsia="黑体"/>
          <w:kern w:val="0"/>
          <w:sz w:val="32"/>
          <w:szCs w:val="32"/>
        </w:rPr>
      </w:pPr>
      <w:r>
        <w:rPr>
          <w:rFonts w:eastAsia="黑体"/>
          <w:kern w:val="0"/>
          <w:sz w:val="32"/>
          <w:szCs w:val="32"/>
        </w:rPr>
        <w:lastRenderedPageBreak/>
        <w:t>附录</w:t>
      </w:r>
      <w:r>
        <w:rPr>
          <w:rFonts w:eastAsia="黑体"/>
          <w:kern w:val="0"/>
          <w:sz w:val="32"/>
          <w:szCs w:val="32"/>
        </w:rPr>
        <w:t>A</w:t>
      </w:r>
    </w:p>
    <w:p w:rsidR="009E517D" w:rsidRDefault="009E517D">
      <w:pPr>
        <w:spacing w:line="360" w:lineRule="auto"/>
        <w:rPr>
          <w:rFonts w:eastAsia="黑体"/>
          <w:kern w:val="0"/>
          <w:sz w:val="32"/>
          <w:szCs w:val="32"/>
        </w:rPr>
      </w:pPr>
    </w:p>
    <w:p w:rsidR="009E517D" w:rsidRDefault="000614CB">
      <w:pPr>
        <w:spacing w:line="560" w:lineRule="exact"/>
        <w:jc w:val="center"/>
        <w:outlineLvl w:val="0"/>
        <w:rPr>
          <w:rFonts w:eastAsia="方正小标宋简体"/>
          <w:sz w:val="42"/>
          <w:szCs w:val="42"/>
        </w:rPr>
      </w:pPr>
      <w:bookmarkStart w:id="39" w:name="_Toc2031_WPSOffice_Level1"/>
      <w:r>
        <w:rPr>
          <w:rFonts w:eastAsia="方正小标宋简体"/>
          <w:sz w:val="42"/>
          <w:szCs w:val="42"/>
        </w:rPr>
        <w:t>定性方法性能指标计算表</w:t>
      </w:r>
      <w:bookmarkEnd w:id="39"/>
    </w:p>
    <w:p w:rsidR="009E517D" w:rsidRDefault="009E517D">
      <w:pPr>
        <w:spacing w:line="560" w:lineRule="exact"/>
        <w:jc w:val="center"/>
        <w:rPr>
          <w:rFonts w:eastAsia="方正小标宋简体"/>
          <w:sz w:val="44"/>
          <w:szCs w:val="44"/>
        </w:rPr>
      </w:pPr>
      <w:bookmarkStart w:id="40" w:name="_Toc16121_WPSOffice_Level1"/>
      <w:bookmarkStart w:id="41" w:name="_Toc23946_WPSOffice_Level1"/>
      <w:bookmarkStart w:id="42" w:name="_Toc26872_WPSOffice_Level1"/>
    </w:p>
    <w:p w:rsidR="009E517D" w:rsidRDefault="000614CB">
      <w:pPr>
        <w:jc w:val="center"/>
        <w:outlineLvl w:val="0"/>
      </w:pPr>
      <w:r>
        <w:t>表</w:t>
      </w:r>
      <w:r>
        <w:t>A.1</w:t>
      </w:r>
      <w:r>
        <w:t>性能指标计算方法</w:t>
      </w:r>
      <w:bookmarkEnd w:id="40"/>
      <w:bookmarkEnd w:id="41"/>
      <w:bookmarkEnd w:id="42"/>
    </w:p>
    <w:tbl>
      <w:tblPr>
        <w:tblW w:w="8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1920"/>
        <w:gridCol w:w="1920"/>
        <w:gridCol w:w="2680"/>
      </w:tblGrid>
      <w:tr w:rsidR="009E517D">
        <w:trPr>
          <w:trHeight w:val="320"/>
          <w:jc w:val="center"/>
        </w:trPr>
        <w:tc>
          <w:tcPr>
            <w:tcW w:w="2020" w:type="dxa"/>
            <w:vMerge w:val="restart"/>
            <w:shd w:val="clear" w:color="auto" w:fill="auto"/>
            <w:vAlign w:val="center"/>
          </w:tcPr>
          <w:p w:rsidR="009E517D" w:rsidRDefault="000614CB">
            <w:pPr>
              <w:widowControl/>
              <w:spacing w:line="360" w:lineRule="auto"/>
              <w:jc w:val="center"/>
              <w:rPr>
                <w:color w:val="000000"/>
                <w:kern w:val="0"/>
                <w:szCs w:val="21"/>
              </w:rPr>
            </w:pPr>
            <w:r>
              <w:rPr>
                <w:color w:val="000000"/>
                <w:kern w:val="0"/>
                <w:szCs w:val="21"/>
              </w:rPr>
              <w:t>样品情况</w:t>
            </w:r>
            <w:r>
              <w:rPr>
                <w:color w:val="000000"/>
                <w:kern w:val="0"/>
                <w:szCs w:val="21"/>
                <w:vertAlign w:val="superscript"/>
              </w:rPr>
              <w:t>a</w:t>
            </w:r>
          </w:p>
        </w:tc>
        <w:tc>
          <w:tcPr>
            <w:tcW w:w="3840" w:type="dxa"/>
            <w:gridSpan w:val="2"/>
            <w:shd w:val="clear" w:color="auto" w:fill="auto"/>
            <w:vAlign w:val="center"/>
          </w:tcPr>
          <w:p w:rsidR="009E517D" w:rsidRDefault="000614CB">
            <w:pPr>
              <w:widowControl/>
              <w:spacing w:line="360" w:lineRule="auto"/>
              <w:jc w:val="center"/>
              <w:rPr>
                <w:color w:val="000000"/>
                <w:kern w:val="0"/>
                <w:szCs w:val="21"/>
              </w:rPr>
            </w:pPr>
            <w:r>
              <w:rPr>
                <w:color w:val="000000"/>
                <w:kern w:val="0"/>
                <w:szCs w:val="21"/>
              </w:rPr>
              <w:t>检测结果</w:t>
            </w:r>
            <w:r>
              <w:rPr>
                <w:color w:val="000000"/>
                <w:kern w:val="0"/>
                <w:szCs w:val="21"/>
                <w:vertAlign w:val="superscript"/>
              </w:rPr>
              <w:t>b</w:t>
            </w:r>
          </w:p>
        </w:tc>
        <w:tc>
          <w:tcPr>
            <w:tcW w:w="2680" w:type="dxa"/>
            <w:vMerge w:val="restart"/>
            <w:shd w:val="clear" w:color="auto" w:fill="auto"/>
            <w:vAlign w:val="center"/>
          </w:tcPr>
          <w:p w:rsidR="009E517D" w:rsidRDefault="000614CB">
            <w:pPr>
              <w:widowControl/>
              <w:spacing w:line="360" w:lineRule="auto"/>
              <w:jc w:val="center"/>
              <w:rPr>
                <w:color w:val="000000"/>
                <w:kern w:val="0"/>
                <w:szCs w:val="21"/>
              </w:rPr>
            </w:pPr>
            <w:r>
              <w:rPr>
                <w:color w:val="000000"/>
                <w:kern w:val="0"/>
                <w:szCs w:val="21"/>
              </w:rPr>
              <w:t>总数</w:t>
            </w:r>
          </w:p>
        </w:tc>
      </w:tr>
      <w:tr w:rsidR="009E517D">
        <w:trPr>
          <w:trHeight w:val="320"/>
          <w:jc w:val="center"/>
        </w:trPr>
        <w:tc>
          <w:tcPr>
            <w:tcW w:w="2020" w:type="dxa"/>
            <w:vMerge/>
            <w:vAlign w:val="center"/>
          </w:tcPr>
          <w:p w:rsidR="009E517D" w:rsidRDefault="009E517D">
            <w:pPr>
              <w:widowControl/>
              <w:spacing w:line="360" w:lineRule="auto"/>
              <w:jc w:val="left"/>
              <w:rPr>
                <w:color w:val="000000"/>
                <w:kern w:val="0"/>
                <w:szCs w:val="21"/>
              </w:rPr>
            </w:pPr>
          </w:p>
        </w:tc>
        <w:tc>
          <w:tcPr>
            <w:tcW w:w="1920" w:type="dxa"/>
            <w:shd w:val="clear" w:color="auto" w:fill="auto"/>
            <w:vAlign w:val="center"/>
          </w:tcPr>
          <w:p w:rsidR="009E517D" w:rsidRDefault="000614CB">
            <w:pPr>
              <w:widowControl/>
              <w:spacing w:line="360" w:lineRule="auto"/>
              <w:jc w:val="center"/>
              <w:rPr>
                <w:color w:val="000000"/>
                <w:kern w:val="0"/>
                <w:szCs w:val="21"/>
              </w:rPr>
            </w:pPr>
            <w:r>
              <w:rPr>
                <w:color w:val="000000"/>
                <w:kern w:val="0"/>
                <w:szCs w:val="21"/>
              </w:rPr>
              <w:t>阳性</w:t>
            </w:r>
          </w:p>
        </w:tc>
        <w:tc>
          <w:tcPr>
            <w:tcW w:w="1920" w:type="dxa"/>
            <w:shd w:val="clear" w:color="auto" w:fill="auto"/>
            <w:vAlign w:val="center"/>
          </w:tcPr>
          <w:p w:rsidR="009E517D" w:rsidRDefault="000614CB">
            <w:pPr>
              <w:widowControl/>
              <w:spacing w:line="360" w:lineRule="auto"/>
              <w:jc w:val="center"/>
              <w:rPr>
                <w:color w:val="000000"/>
                <w:kern w:val="0"/>
                <w:szCs w:val="21"/>
              </w:rPr>
            </w:pPr>
            <w:r>
              <w:rPr>
                <w:color w:val="000000"/>
                <w:kern w:val="0"/>
                <w:szCs w:val="21"/>
              </w:rPr>
              <w:t>阴性</w:t>
            </w:r>
          </w:p>
        </w:tc>
        <w:tc>
          <w:tcPr>
            <w:tcW w:w="2680" w:type="dxa"/>
            <w:vMerge/>
            <w:vAlign w:val="center"/>
          </w:tcPr>
          <w:p w:rsidR="009E517D" w:rsidRDefault="009E517D">
            <w:pPr>
              <w:widowControl/>
              <w:spacing w:line="360" w:lineRule="auto"/>
              <w:jc w:val="left"/>
              <w:rPr>
                <w:color w:val="000000"/>
                <w:kern w:val="0"/>
                <w:szCs w:val="21"/>
              </w:rPr>
            </w:pPr>
          </w:p>
        </w:tc>
      </w:tr>
      <w:tr w:rsidR="009E517D">
        <w:trPr>
          <w:trHeight w:val="320"/>
          <w:jc w:val="center"/>
        </w:trPr>
        <w:tc>
          <w:tcPr>
            <w:tcW w:w="2020" w:type="dxa"/>
            <w:shd w:val="clear" w:color="auto" w:fill="auto"/>
            <w:vAlign w:val="center"/>
          </w:tcPr>
          <w:p w:rsidR="009E517D" w:rsidRDefault="000614CB">
            <w:pPr>
              <w:widowControl/>
              <w:spacing w:line="360" w:lineRule="auto"/>
              <w:jc w:val="center"/>
              <w:rPr>
                <w:color w:val="000000"/>
                <w:kern w:val="0"/>
                <w:szCs w:val="21"/>
              </w:rPr>
            </w:pPr>
            <w:r>
              <w:rPr>
                <w:color w:val="000000"/>
                <w:kern w:val="0"/>
                <w:szCs w:val="21"/>
              </w:rPr>
              <w:t>阳性</w:t>
            </w:r>
          </w:p>
        </w:tc>
        <w:tc>
          <w:tcPr>
            <w:tcW w:w="1920" w:type="dxa"/>
            <w:shd w:val="clear" w:color="auto" w:fill="auto"/>
            <w:vAlign w:val="center"/>
          </w:tcPr>
          <w:p w:rsidR="009E517D" w:rsidRDefault="000614CB">
            <w:pPr>
              <w:widowControl/>
              <w:spacing w:line="360" w:lineRule="auto"/>
              <w:jc w:val="center"/>
              <w:rPr>
                <w:color w:val="000000"/>
                <w:kern w:val="0"/>
                <w:szCs w:val="21"/>
              </w:rPr>
            </w:pPr>
            <w:r>
              <w:rPr>
                <w:color w:val="000000"/>
                <w:kern w:val="0"/>
                <w:szCs w:val="21"/>
              </w:rPr>
              <w:t>N11</w:t>
            </w:r>
          </w:p>
        </w:tc>
        <w:tc>
          <w:tcPr>
            <w:tcW w:w="1920" w:type="dxa"/>
            <w:shd w:val="clear" w:color="auto" w:fill="auto"/>
            <w:vAlign w:val="center"/>
          </w:tcPr>
          <w:p w:rsidR="009E517D" w:rsidRDefault="000614CB">
            <w:pPr>
              <w:widowControl/>
              <w:spacing w:line="360" w:lineRule="auto"/>
              <w:jc w:val="center"/>
              <w:rPr>
                <w:color w:val="000000"/>
                <w:kern w:val="0"/>
                <w:szCs w:val="21"/>
              </w:rPr>
            </w:pPr>
            <w:r>
              <w:rPr>
                <w:color w:val="000000"/>
                <w:kern w:val="0"/>
                <w:szCs w:val="21"/>
              </w:rPr>
              <w:t>N12</w:t>
            </w:r>
          </w:p>
        </w:tc>
        <w:tc>
          <w:tcPr>
            <w:tcW w:w="2680" w:type="dxa"/>
            <w:shd w:val="clear" w:color="auto" w:fill="auto"/>
            <w:vAlign w:val="center"/>
          </w:tcPr>
          <w:p w:rsidR="009E517D" w:rsidRDefault="000614CB">
            <w:pPr>
              <w:widowControl/>
              <w:spacing w:line="360" w:lineRule="auto"/>
              <w:jc w:val="center"/>
              <w:rPr>
                <w:color w:val="000000"/>
                <w:kern w:val="0"/>
                <w:szCs w:val="21"/>
              </w:rPr>
            </w:pPr>
            <w:r>
              <w:rPr>
                <w:color w:val="000000"/>
                <w:kern w:val="0"/>
                <w:szCs w:val="21"/>
              </w:rPr>
              <w:t>N1.=N11+N12</w:t>
            </w:r>
          </w:p>
        </w:tc>
      </w:tr>
      <w:tr w:rsidR="009E517D">
        <w:trPr>
          <w:trHeight w:val="465"/>
          <w:jc w:val="center"/>
        </w:trPr>
        <w:tc>
          <w:tcPr>
            <w:tcW w:w="2020" w:type="dxa"/>
            <w:shd w:val="clear" w:color="auto" w:fill="auto"/>
            <w:vAlign w:val="center"/>
          </w:tcPr>
          <w:p w:rsidR="009E517D" w:rsidRDefault="000614CB">
            <w:pPr>
              <w:widowControl/>
              <w:spacing w:line="360" w:lineRule="auto"/>
              <w:jc w:val="center"/>
              <w:rPr>
                <w:color w:val="000000"/>
                <w:kern w:val="0"/>
                <w:szCs w:val="21"/>
              </w:rPr>
            </w:pPr>
            <w:r>
              <w:rPr>
                <w:color w:val="000000"/>
                <w:kern w:val="0"/>
                <w:szCs w:val="21"/>
              </w:rPr>
              <w:t>阴性</w:t>
            </w:r>
          </w:p>
        </w:tc>
        <w:tc>
          <w:tcPr>
            <w:tcW w:w="1920" w:type="dxa"/>
            <w:shd w:val="clear" w:color="auto" w:fill="auto"/>
            <w:vAlign w:val="center"/>
          </w:tcPr>
          <w:p w:rsidR="009E517D" w:rsidRDefault="000614CB">
            <w:pPr>
              <w:widowControl/>
              <w:spacing w:line="360" w:lineRule="auto"/>
              <w:jc w:val="center"/>
              <w:rPr>
                <w:color w:val="000000"/>
                <w:kern w:val="0"/>
                <w:szCs w:val="21"/>
              </w:rPr>
            </w:pPr>
            <w:r>
              <w:rPr>
                <w:color w:val="000000"/>
                <w:kern w:val="0"/>
                <w:szCs w:val="21"/>
              </w:rPr>
              <w:t>N21</w:t>
            </w:r>
          </w:p>
        </w:tc>
        <w:tc>
          <w:tcPr>
            <w:tcW w:w="1920" w:type="dxa"/>
            <w:shd w:val="clear" w:color="auto" w:fill="auto"/>
            <w:vAlign w:val="center"/>
          </w:tcPr>
          <w:p w:rsidR="009E517D" w:rsidRDefault="000614CB">
            <w:pPr>
              <w:widowControl/>
              <w:spacing w:line="360" w:lineRule="auto"/>
              <w:jc w:val="center"/>
              <w:rPr>
                <w:color w:val="000000"/>
                <w:kern w:val="0"/>
                <w:szCs w:val="21"/>
              </w:rPr>
            </w:pPr>
            <w:r>
              <w:rPr>
                <w:color w:val="000000"/>
                <w:kern w:val="0"/>
                <w:szCs w:val="21"/>
              </w:rPr>
              <w:t>N22</w:t>
            </w:r>
          </w:p>
        </w:tc>
        <w:tc>
          <w:tcPr>
            <w:tcW w:w="2680" w:type="dxa"/>
            <w:shd w:val="clear" w:color="auto" w:fill="auto"/>
            <w:vAlign w:val="center"/>
          </w:tcPr>
          <w:p w:rsidR="009E517D" w:rsidRDefault="000614CB">
            <w:pPr>
              <w:widowControl/>
              <w:spacing w:line="360" w:lineRule="auto"/>
              <w:jc w:val="center"/>
              <w:rPr>
                <w:color w:val="000000"/>
                <w:kern w:val="0"/>
                <w:szCs w:val="21"/>
              </w:rPr>
            </w:pPr>
            <w:r>
              <w:rPr>
                <w:color w:val="000000"/>
                <w:kern w:val="0"/>
                <w:szCs w:val="21"/>
              </w:rPr>
              <w:t>N2.=N21+N22</w:t>
            </w:r>
          </w:p>
        </w:tc>
      </w:tr>
      <w:tr w:rsidR="009E517D">
        <w:trPr>
          <w:trHeight w:val="320"/>
          <w:jc w:val="center"/>
        </w:trPr>
        <w:tc>
          <w:tcPr>
            <w:tcW w:w="2020" w:type="dxa"/>
            <w:shd w:val="clear" w:color="auto" w:fill="auto"/>
            <w:vAlign w:val="center"/>
          </w:tcPr>
          <w:p w:rsidR="009E517D" w:rsidRDefault="000614CB">
            <w:pPr>
              <w:widowControl/>
              <w:spacing w:line="360" w:lineRule="auto"/>
              <w:jc w:val="center"/>
              <w:rPr>
                <w:color w:val="000000"/>
                <w:kern w:val="0"/>
                <w:szCs w:val="21"/>
              </w:rPr>
            </w:pPr>
            <w:r>
              <w:rPr>
                <w:color w:val="000000"/>
                <w:kern w:val="0"/>
                <w:szCs w:val="21"/>
              </w:rPr>
              <w:t>总数</w:t>
            </w:r>
          </w:p>
        </w:tc>
        <w:tc>
          <w:tcPr>
            <w:tcW w:w="1920" w:type="dxa"/>
            <w:shd w:val="clear" w:color="auto" w:fill="auto"/>
            <w:vAlign w:val="center"/>
          </w:tcPr>
          <w:p w:rsidR="009E517D" w:rsidRDefault="000614CB">
            <w:pPr>
              <w:widowControl/>
              <w:spacing w:line="360" w:lineRule="auto"/>
              <w:jc w:val="center"/>
              <w:rPr>
                <w:color w:val="000000"/>
                <w:kern w:val="0"/>
                <w:szCs w:val="21"/>
              </w:rPr>
            </w:pPr>
            <w:r>
              <w:rPr>
                <w:color w:val="000000"/>
                <w:kern w:val="0"/>
                <w:szCs w:val="21"/>
              </w:rPr>
              <w:t>N.1=N11+N12</w:t>
            </w:r>
          </w:p>
        </w:tc>
        <w:tc>
          <w:tcPr>
            <w:tcW w:w="1920" w:type="dxa"/>
            <w:shd w:val="clear" w:color="auto" w:fill="auto"/>
            <w:vAlign w:val="center"/>
          </w:tcPr>
          <w:p w:rsidR="009E517D" w:rsidRDefault="000614CB">
            <w:pPr>
              <w:widowControl/>
              <w:spacing w:line="360" w:lineRule="auto"/>
              <w:jc w:val="center"/>
              <w:rPr>
                <w:color w:val="000000"/>
                <w:kern w:val="0"/>
                <w:szCs w:val="21"/>
              </w:rPr>
            </w:pPr>
            <w:r>
              <w:rPr>
                <w:color w:val="000000"/>
                <w:kern w:val="0"/>
                <w:szCs w:val="21"/>
              </w:rPr>
              <w:t>N.2=N21+N22</w:t>
            </w:r>
          </w:p>
        </w:tc>
        <w:tc>
          <w:tcPr>
            <w:tcW w:w="2680" w:type="dxa"/>
            <w:shd w:val="clear" w:color="auto" w:fill="auto"/>
            <w:vAlign w:val="center"/>
          </w:tcPr>
          <w:p w:rsidR="009E517D" w:rsidRDefault="000614CB">
            <w:pPr>
              <w:widowControl/>
              <w:spacing w:line="360" w:lineRule="auto"/>
              <w:jc w:val="center"/>
              <w:rPr>
                <w:color w:val="000000"/>
                <w:kern w:val="0"/>
                <w:szCs w:val="21"/>
              </w:rPr>
            </w:pPr>
            <w:r>
              <w:rPr>
                <w:color w:val="000000"/>
                <w:kern w:val="0"/>
                <w:szCs w:val="21"/>
              </w:rPr>
              <w:t>N=N1.+N2.</w:t>
            </w:r>
            <w:r>
              <w:rPr>
                <w:color w:val="000000"/>
                <w:kern w:val="0"/>
                <w:szCs w:val="21"/>
              </w:rPr>
              <w:t>或</w:t>
            </w:r>
            <w:r>
              <w:rPr>
                <w:color w:val="000000"/>
                <w:kern w:val="0"/>
                <w:szCs w:val="21"/>
              </w:rPr>
              <w:t>N.1+N.2</w:t>
            </w:r>
          </w:p>
        </w:tc>
      </w:tr>
      <w:tr w:rsidR="009E517D">
        <w:trPr>
          <w:trHeight w:val="320"/>
          <w:jc w:val="center"/>
        </w:trPr>
        <w:tc>
          <w:tcPr>
            <w:tcW w:w="2020" w:type="dxa"/>
            <w:shd w:val="clear" w:color="auto" w:fill="auto"/>
            <w:vAlign w:val="center"/>
          </w:tcPr>
          <w:p w:rsidR="009E517D" w:rsidRDefault="000614CB">
            <w:pPr>
              <w:spacing w:line="360" w:lineRule="auto"/>
              <w:jc w:val="center"/>
              <w:rPr>
                <w:szCs w:val="21"/>
              </w:rPr>
            </w:pPr>
            <w:r>
              <w:rPr>
                <w:szCs w:val="21"/>
              </w:rPr>
              <w:t>显著性差异（</w:t>
            </w:r>
            <w:r>
              <w:rPr>
                <w:szCs w:val="21"/>
              </w:rPr>
              <w:sym w:font="Symbol" w:char="0063"/>
            </w:r>
            <w:r>
              <w:rPr>
                <w:szCs w:val="21"/>
                <w:vertAlign w:val="superscript"/>
              </w:rPr>
              <w:t>2</w:t>
            </w:r>
            <w:r>
              <w:rPr>
                <w:szCs w:val="21"/>
              </w:rPr>
              <w:t>）</w:t>
            </w:r>
          </w:p>
        </w:tc>
        <w:tc>
          <w:tcPr>
            <w:tcW w:w="6520" w:type="dxa"/>
            <w:gridSpan w:val="3"/>
            <w:shd w:val="clear" w:color="auto" w:fill="auto"/>
            <w:vAlign w:val="center"/>
          </w:tcPr>
          <w:p w:rsidR="009E517D" w:rsidRDefault="000614CB">
            <w:pPr>
              <w:spacing w:line="360" w:lineRule="auto"/>
              <w:jc w:val="center"/>
              <w:rPr>
                <w:szCs w:val="21"/>
              </w:rPr>
            </w:pPr>
            <w:r>
              <w:rPr>
                <w:szCs w:val="21"/>
              </w:rPr>
              <w:sym w:font="Symbol" w:char="0063"/>
            </w:r>
            <w:r>
              <w:rPr>
                <w:szCs w:val="21"/>
                <w:vertAlign w:val="superscript"/>
              </w:rPr>
              <w:t>2</w:t>
            </w:r>
            <w:r>
              <w:rPr>
                <w:szCs w:val="21"/>
              </w:rPr>
              <w:t>=</w:t>
            </w:r>
            <w:r>
              <w:rPr>
                <w:szCs w:val="21"/>
              </w:rPr>
              <w:t>（</w:t>
            </w:r>
            <w:r>
              <w:rPr>
                <w:szCs w:val="21"/>
              </w:rPr>
              <w:sym w:font="Symbol" w:char="00BD"/>
            </w:r>
            <w:r>
              <w:rPr>
                <w:szCs w:val="21"/>
              </w:rPr>
              <w:t>N12-N21</w:t>
            </w:r>
            <w:r>
              <w:rPr>
                <w:szCs w:val="21"/>
              </w:rPr>
              <w:sym w:font="Symbol" w:char="00BD"/>
            </w:r>
            <w:r>
              <w:rPr>
                <w:szCs w:val="21"/>
              </w:rPr>
              <w:t>-1</w:t>
            </w:r>
            <w:r>
              <w:rPr>
                <w:szCs w:val="21"/>
              </w:rPr>
              <w:t>）</w:t>
            </w:r>
            <w:r>
              <w:rPr>
                <w:szCs w:val="21"/>
                <w:vertAlign w:val="superscript"/>
              </w:rPr>
              <w:t>2</w:t>
            </w:r>
            <w:r>
              <w:rPr>
                <w:szCs w:val="21"/>
              </w:rPr>
              <w:t>/</w:t>
            </w:r>
            <w:r>
              <w:rPr>
                <w:szCs w:val="21"/>
              </w:rPr>
              <w:t>（</w:t>
            </w:r>
            <w:r>
              <w:rPr>
                <w:szCs w:val="21"/>
              </w:rPr>
              <w:t>N12+N21</w:t>
            </w:r>
            <w:r>
              <w:rPr>
                <w:szCs w:val="21"/>
              </w:rPr>
              <w:t>），</w:t>
            </w:r>
          </w:p>
          <w:p w:rsidR="009E517D" w:rsidRDefault="000614CB">
            <w:pPr>
              <w:spacing w:line="360" w:lineRule="auto"/>
              <w:jc w:val="center"/>
              <w:rPr>
                <w:szCs w:val="21"/>
              </w:rPr>
            </w:pPr>
            <w:r>
              <w:rPr>
                <w:szCs w:val="21"/>
              </w:rPr>
              <w:t>自由度（</w:t>
            </w:r>
            <w:proofErr w:type="spellStart"/>
            <w:r>
              <w:rPr>
                <w:szCs w:val="21"/>
              </w:rPr>
              <w:t>df</w:t>
            </w:r>
            <w:proofErr w:type="spellEnd"/>
            <w:r>
              <w:rPr>
                <w:szCs w:val="21"/>
              </w:rPr>
              <w:t>）</w:t>
            </w:r>
            <w:r>
              <w:rPr>
                <w:szCs w:val="21"/>
              </w:rPr>
              <w:t>=1</w:t>
            </w:r>
          </w:p>
        </w:tc>
      </w:tr>
      <w:tr w:rsidR="009E517D">
        <w:trPr>
          <w:trHeight w:val="320"/>
          <w:jc w:val="center"/>
        </w:trPr>
        <w:tc>
          <w:tcPr>
            <w:tcW w:w="2020" w:type="dxa"/>
            <w:shd w:val="clear" w:color="auto" w:fill="auto"/>
            <w:vAlign w:val="center"/>
          </w:tcPr>
          <w:p w:rsidR="009E517D" w:rsidRDefault="000614CB">
            <w:pPr>
              <w:spacing w:line="360" w:lineRule="auto"/>
              <w:jc w:val="center"/>
              <w:rPr>
                <w:szCs w:val="21"/>
              </w:rPr>
            </w:pPr>
            <w:r>
              <w:rPr>
                <w:szCs w:val="21"/>
              </w:rPr>
              <w:t>灵敏度（</w:t>
            </w:r>
            <w:r>
              <w:rPr>
                <w:szCs w:val="21"/>
              </w:rPr>
              <w:t>p+</w:t>
            </w:r>
            <w:r>
              <w:rPr>
                <w:szCs w:val="21"/>
              </w:rPr>
              <w:t>，</w:t>
            </w:r>
            <w:r>
              <w:rPr>
                <w:szCs w:val="21"/>
              </w:rPr>
              <w:t>%</w:t>
            </w:r>
            <w:r>
              <w:rPr>
                <w:szCs w:val="21"/>
              </w:rPr>
              <w:t>）</w:t>
            </w:r>
          </w:p>
        </w:tc>
        <w:tc>
          <w:tcPr>
            <w:tcW w:w="6520" w:type="dxa"/>
            <w:gridSpan w:val="3"/>
            <w:shd w:val="clear" w:color="auto" w:fill="auto"/>
            <w:vAlign w:val="center"/>
          </w:tcPr>
          <w:p w:rsidR="009E517D" w:rsidRDefault="000614CB">
            <w:pPr>
              <w:spacing w:line="360" w:lineRule="auto"/>
              <w:jc w:val="center"/>
              <w:rPr>
                <w:szCs w:val="21"/>
              </w:rPr>
            </w:pPr>
            <w:r>
              <w:rPr>
                <w:szCs w:val="21"/>
              </w:rPr>
              <w:t>p+=N11/N1.</w:t>
            </w:r>
          </w:p>
        </w:tc>
      </w:tr>
      <w:tr w:rsidR="009E517D">
        <w:trPr>
          <w:trHeight w:val="320"/>
          <w:jc w:val="center"/>
        </w:trPr>
        <w:tc>
          <w:tcPr>
            <w:tcW w:w="2020" w:type="dxa"/>
            <w:shd w:val="clear" w:color="auto" w:fill="auto"/>
            <w:vAlign w:val="center"/>
          </w:tcPr>
          <w:p w:rsidR="009E517D" w:rsidRDefault="000614CB">
            <w:pPr>
              <w:spacing w:line="360" w:lineRule="auto"/>
              <w:jc w:val="center"/>
              <w:rPr>
                <w:szCs w:val="21"/>
              </w:rPr>
            </w:pPr>
            <w:r>
              <w:rPr>
                <w:szCs w:val="21"/>
              </w:rPr>
              <w:t>特异性（</w:t>
            </w:r>
            <w:r>
              <w:rPr>
                <w:szCs w:val="21"/>
              </w:rPr>
              <w:t>p-</w:t>
            </w:r>
            <w:r>
              <w:rPr>
                <w:szCs w:val="21"/>
              </w:rPr>
              <w:t>，</w:t>
            </w:r>
            <w:r>
              <w:rPr>
                <w:szCs w:val="21"/>
              </w:rPr>
              <w:t>%</w:t>
            </w:r>
            <w:r>
              <w:rPr>
                <w:szCs w:val="21"/>
              </w:rPr>
              <w:t>）</w:t>
            </w:r>
          </w:p>
        </w:tc>
        <w:tc>
          <w:tcPr>
            <w:tcW w:w="6520" w:type="dxa"/>
            <w:gridSpan w:val="3"/>
            <w:shd w:val="clear" w:color="auto" w:fill="auto"/>
            <w:vAlign w:val="center"/>
          </w:tcPr>
          <w:p w:rsidR="009E517D" w:rsidRDefault="000614CB">
            <w:pPr>
              <w:spacing w:line="360" w:lineRule="auto"/>
              <w:jc w:val="center"/>
              <w:rPr>
                <w:szCs w:val="21"/>
              </w:rPr>
            </w:pPr>
            <w:proofErr w:type="gramStart"/>
            <w:r>
              <w:rPr>
                <w:szCs w:val="21"/>
              </w:rPr>
              <w:t>p-=</w:t>
            </w:r>
            <w:proofErr w:type="gramEnd"/>
            <w:r>
              <w:rPr>
                <w:szCs w:val="21"/>
              </w:rPr>
              <w:t>N22/N2.</w:t>
            </w:r>
          </w:p>
        </w:tc>
      </w:tr>
      <w:tr w:rsidR="009E517D">
        <w:trPr>
          <w:trHeight w:val="320"/>
          <w:jc w:val="center"/>
        </w:trPr>
        <w:tc>
          <w:tcPr>
            <w:tcW w:w="2020" w:type="dxa"/>
            <w:shd w:val="clear" w:color="auto" w:fill="auto"/>
            <w:vAlign w:val="center"/>
          </w:tcPr>
          <w:p w:rsidR="009E517D" w:rsidRDefault="000614CB">
            <w:pPr>
              <w:spacing w:line="360" w:lineRule="auto"/>
              <w:jc w:val="center"/>
              <w:rPr>
                <w:szCs w:val="21"/>
              </w:rPr>
            </w:pPr>
            <w:r>
              <w:rPr>
                <w:szCs w:val="21"/>
              </w:rPr>
              <w:t>假阴性率（</w:t>
            </w:r>
            <w:proofErr w:type="spellStart"/>
            <w:r>
              <w:rPr>
                <w:szCs w:val="21"/>
              </w:rPr>
              <w:t>pf</w:t>
            </w:r>
            <w:proofErr w:type="spellEnd"/>
            <w:r>
              <w:rPr>
                <w:szCs w:val="21"/>
              </w:rPr>
              <w:t>-</w:t>
            </w:r>
            <w:r>
              <w:rPr>
                <w:szCs w:val="21"/>
              </w:rPr>
              <w:t>，</w:t>
            </w:r>
            <w:r>
              <w:rPr>
                <w:szCs w:val="21"/>
              </w:rPr>
              <w:t>%</w:t>
            </w:r>
            <w:r>
              <w:rPr>
                <w:szCs w:val="21"/>
              </w:rPr>
              <w:t>）</w:t>
            </w:r>
          </w:p>
        </w:tc>
        <w:tc>
          <w:tcPr>
            <w:tcW w:w="6520" w:type="dxa"/>
            <w:gridSpan w:val="3"/>
            <w:shd w:val="clear" w:color="auto" w:fill="auto"/>
            <w:vAlign w:val="center"/>
          </w:tcPr>
          <w:p w:rsidR="009E517D" w:rsidRDefault="000614CB">
            <w:pPr>
              <w:spacing w:line="360" w:lineRule="auto"/>
              <w:jc w:val="center"/>
              <w:rPr>
                <w:szCs w:val="21"/>
              </w:rPr>
            </w:pPr>
            <w:proofErr w:type="spellStart"/>
            <w:r>
              <w:rPr>
                <w:szCs w:val="21"/>
              </w:rPr>
              <w:t>pf</w:t>
            </w:r>
            <w:proofErr w:type="spellEnd"/>
            <w:r>
              <w:rPr>
                <w:szCs w:val="21"/>
              </w:rPr>
              <w:t>-=N12/N1.=100-</w:t>
            </w:r>
            <w:r>
              <w:rPr>
                <w:szCs w:val="21"/>
              </w:rPr>
              <w:t>灵敏度</w:t>
            </w:r>
          </w:p>
        </w:tc>
      </w:tr>
      <w:tr w:rsidR="009E517D">
        <w:trPr>
          <w:trHeight w:val="320"/>
          <w:jc w:val="center"/>
        </w:trPr>
        <w:tc>
          <w:tcPr>
            <w:tcW w:w="2020" w:type="dxa"/>
            <w:shd w:val="clear" w:color="auto" w:fill="auto"/>
            <w:vAlign w:val="center"/>
          </w:tcPr>
          <w:p w:rsidR="009E517D" w:rsidRDefault="000614CB">
            <w:pPr>
              <w:spacing w:line="360" w:lineRule="auto"/>
              <w:jc w:val="center"/>
              <w:rPr>
                <w:szCs w:val="21"/>
              </w:rPr>
            </w:pPr>
            <w:r>
              <w:rPr>
                <w:szCs w:val="21"/>
              </w:rPr>
              <w:t>假阳性率（</w:t>
            </w:r>
            <w:proofErr w:type="spellStart"/>
            <w:r>
              <w:rPr>
                <w:szCs w:val="21"/>
              </w:rPr>
              <w:t>pf</w:t>
            </w:r>
            <w:proofErr w:type="spellEnd"/>
            <w:r>
              <w:rPr>
                <w:szCs w:val="21"/>
              </w:rPr>
              <w:t>+</w:t>
            </w:r>
            <w:r>
              <w:rPr>
                <w:szCs w:val="21"/>
              </w:rPr>
              <w:t>，</w:t>
            </w:r>
            <w:r>
              <w:rPr>
                <w:szCs w:val="21"/>
              </w:rPr>
              <w:t>%</w:t>
            </w:r>
            <w:r>
              <w:rPr>
                <w:szCs w:val="21"/>
              </w:rPr>
              <w:t>）</w:t>
            </w:r>
          </w:p>
        </w:tc>
        <w:tc>
          <w:tcPr>
            <w:tcW w:w="6520" w:type="dxa"/>
            <w:gridSpan w:val="3"/>
            <w:shd w:val="clear" w:color="auto" w:fill="auto"/>
            <w:vAlign w:val="center"/>
          </w:tcPr>
          <w:p w:rsidR="009E517D" w:rsidRDefault="000614CB">
            <w:pPr>
              <w:spacing w:line="360" w:lineRule="auto"/>
              <w:jc w:val="center"/>
              <w:rPr>
                <w:szCs w:val="21"/>
              </w:rPr>
            </w:pPr>
            <w:proofErr w:type="spellStart"/>
            <w:r>
              <w:rPr>
                <w:szCs w:val="21"/>
              </w:rPr>
              <w:t>pf</w:t>
            </w:r>
            <w:proofErr w:type="spellEnd"/>
            <w:r>
              <w:rPr>
                <w:szCs w:val="21"/>
              </w:rPr>
              <w:t>+=N21/N2.=100-</w:t>
            </w:r>
            <w:r>
              <w:rPr>
                <w:szCs w:val="21"/>
              </w:rPr>
              <w:t>特异性</w:t>
            </w:r>
          </w:p>
        </w:tc>
      </w:tr>
      <w:tr w:rsidR="009E517D">
        <w:trPr>
          <w:trHeight w:val="320"/>
          <w:jc w:val="center"/>
        </w:trPr>
        <w:tc>
          <w:tcPr>
            <w:tcW w:w="2020" w:type="dxa"/>
            <w:shd w:val="clear" w:color="auto" w:fill="auto"/>
            <w:vAlign w:val="center"/>
          </w:tcPr>
          <w:p w:rsidR="009E517D" w:rsidRDefault="000614CB">
            <w:pPr>
              <w:spacing w:line="360" w:lineRule="auto"/>
              <w:jc w:val="center"/>
              <w:rPr>
                <w:szCs w:val="21"/>
              </w:rPr>
            </w:pPr>
            <w:r>
              <w:rPr>
                <w:szCs w:val="21"/>
              </w:rPr>
              <w:t>相对准确度，</w:t>
            </w:r>
            <w:r>
              <w:rPr>
                <w:szCs w:val="21"/>
              </w:rPr>
              <w:t>%</w:t>
            </w:r>
            <w:r>
              <w:rPr>
                <w:szCs w:val="21"/>
                <w:vertAlign w:val="superscript"/>
              </w:rPr>
              <w:t>c</w:t>
            </w:r>
          </w:p>
        </w:tc>
        <w:tc>
          <w:tcPr>
            <w:tcW w:w="6520" w:type="dxa"/>
            <w:gridSpan w:val="3"/>
            <w:shd w:val="clear" w:color="auto" w:fill="auto"/>
            <w:vAlign w:val="center"/>
          </w:tcPr>
          <w:p w:rsidR="009E517D" w:rsidRDefault="000614CB">
            <w:pPr>
              <w:spacing w:line="360" w:lineRule="auto"/>
              <w:jc w:val="center"/>
              <w:rPr>
                <w:szCs w:val="21"/>
              </w:rPr>
            </w:pPr>
            <w:r>
              <w:rPr>
                <w:szCs w:val="21"/>
              </w:rPr>
              <w:t>（</w:t>
            </w:r>
            <w:r>
              <w:rPr>
                <w:szCs w:val="21"/>
              </w:rPr>
              <w:t>N11+N22</w:t>
            </w:r>
            <w:r>
              <w:rPr>
                <w:szCs w:val="21"/>
              </w:rPr>
              <w:t>）</w:t>
            </w:r>
            <w:r>
              <w:rPr>
                <w:szCs w:val="21"/>
              </w:rPr>
              <w:t>/(N1.+N2.)</w:t>
            </w:r>
          </w:p>
        </w:tc>
      </w:tr>
      <w:tr w:rsidR="009E517D">
        <w:trPr>
          <w:trHeight w:val="320"/>
          <w:jc w:val="center"/>
        </w:trPr>
        <w:tc>
          <w:tcPr>
            <w:tcW w:w="8540" w:type="dxa"/>
            <w:gridSpan w:val="4"/>
            <w:shd w:val="clear" w:color="auto" w:fill="auto"/>
            <w:vAlign w:val="center"/>
          </w:tcPr>
          <w:p w:rsidR="009E517D" w:rsidRDefault="000614CB">
            <w:pPr>
              <w:rPr>
                <w:szCs w:val="21"/>
              </w:rPr>
            </w:pPr>
            <w:r>
              <w:rPr>
                <w:szCs w:val="21"/>
              </w:rPr>
              <w:t>注：</w:t>
            </w:r>
          </w:p>
          <w:p w:rsidR="009E517D" w:rsidRDefault="000614CB">
            <w:pPr>
              <w:rPr>
                <w:szCs w:val="21"/>
              </w:rPr>
            </w:pPr>
            <w:r>
              <w:rPr>
                <w:szCs w:val="21"/>
                <w:vertAlign w:val="superscript"/>
              </w:rPr>
              <w:t>a</w:t>
            </w:r>
            <w:r>
              <w:rPr>
                <w:szCs w:val="21"/>
              </w:rPr>
              <w:t>由参比方法检验得到的结果或者样品中实际的</w:t>
            </w:r>
            <w:proofErr w:type="gramStart"/>
            <w:r>
              <w:rPr>
                <w:szCs w:val="21"/>
              </w:rPr>
              <w:t>公议值</w:t>
            </w:r>
            <w:proofErr w:type="gramEnd"/>
            <w:r>
              <w:rPr>
                <w:szCs w:val="21"/>
              </w:rPr>
              <w:t>结果；</w:t>
            </w:r>
          </w:p>
          <w:p w:rsidR="009E517D" w:rsidRDefault="000614CB">
            <w:pPr>
              <w:rPr>
                <w:szCs w:val="21"/>
              </w:rPr>
            </w:pPr>
            <w:r>
              <w:rPr>
                <w:szCs w:val="21"/>
                <w:vertAlign w:val="superscript"/>
              </w:rPr>
              <w:t>b</w:t>
            </w:r>
            <w:proofErr w:type="gramStart"/>
            <w:r>
              <w:rPr>
                <w:szCs w:val="21"/>
              </w:rPr>
              <w:t>由待确认</w:t>
            </w:r>
            <w:proofErr w:type="gramEnd"/>
            <w:r>
              <w:rPr>
                <w:szCs w:val="21"/>
              </w:rPr>
              <w:t>方法检验得到的结果。灵敏度的计算使用确认后的结果。</w:t>
            </w:r>
          </w:p>
          <w:p w:rsidR="009E517D" w:rsidRDefault="000614CB">
            <w:pPr>
              <w:rPr>
                <w:szCs w:val="21"/>
              </w:rPr>
            </w:pPr>
            <w:r>
              <w:rPr>
                <w:szCs w:val="21"/>
              </w:rPr>
              <w:t>N</w:t>
            </w:r>
            <w:r>
              <w:rPr>
                <w:szCs w:val="21"/>
              </w:rPr>
              <w:t>：任何特定单元的结果数，第一个下标指行，第二个下标指列。例如：</w:t>
            </w:r>
            <w:r>
              <w:rPr>
                <w:szCs w:val="21"/>
              </w:rPr>
              <w:t>N11</w:t>
            </w:r>
            <w:r>
              <w:rPr>
                <w:szCs w:val="21"/>
              </w:rPr>
              <w:t>表示第一行，第一列，</w:t>
            </w:r>
            <w:r>
              <w:rPr>
                <w:szCs w:val="21"/>
              </w:rPr>
              <w:t>N1.</w:t>
            </w:r>
            <w:r>
              <w:rPr>
                <w:szCs w:val="21"/>
              </w:rPr>
              <w:t>表示所有的第一行，</w:t>
            </w:r>
            <w:r>
              <w:rPr>
                <w:szCs w:val="21"/>
              </w:rPr>
              <w:t>N.2</w:t>
            </w:r>
            <w:r>
              <w:rPr>
                <w:szCs w:val="21"/>
              </w:rPr>
              <w:t>表示所有的第二列；</w:t>
            </w:r>
            <w:r>
              <w:rPr>
                <w:szCs w:val="21"/>
              </w:rPr>
              <w:t>N12</w:t>
            </w:r>
            <w:r>
              <w:rPr>
                <w:szCs w:val="21"/>
              </w:rPr>
              <w:t>表示第一行，第二列。</w:t>
            </w:r>
          </w:p>
          <w:p w:rsidR="009E517D" w:rsidRDefault="000614CB">
            <w:pPr>
              <w:rPr>
                <w:szCs w:val="21"/>
              </w:rPr>
            </w:pPr>
            <w:r>
              <w:rPr>
                <w:szCs w:val="21"/>
                <w:vertAlign w:val="superscript"/>
              </w:rPr>
              <w:t>C</w:t>
            </w:r>
            <w:r>
              <w:rPr>
                <w:szCs w:val="21"/>
              </w:rPr>
              <w:t>为方法的检测结果相对准确性的结果，与一致性分析和浓度检测趋势情况综合评价。</w:t>
            </w:r>
          </w:p>
        </w:tc>
      </w:tr>
    </w:tbl>
    <w:p w:rsidR="009E517D" w:rsidRDefault="009E517D">
      <w:pPr>
        <w:spacing w:line="360" w:lineRule="auto"/>
        <w:ind w:firstLineChars="91" w:firstLine="191"/>
        <w:rPr>
          <w:szCs w:val="21"/>
        </w:rPr>
      </w:pPr>
    </w:p>
    <w:p w:rsidR="009E517D" w:rsidRDefault="000614CB">
      <w:pPr>
        <w:spacing w:line="360" w:lineRule="auto"/>
        <w:ind w:firstLineChars="91" w:firstLine="191"/>
        <w:rPr>
          <w:szCs w:val="21"/>
        </w:rPr>
      </w:pPr>
      <w:r>
        <w:rPr>
          <w:szCs w:val="21"/>
        </w:rPr>
        <w:t>本方法负责起草单位：广东省食品检验所。</w:t>
      </w:r>
    </w:p>
    <w:p w:rsidR="009E517D" w:rsidRDefault="000614CB">
      <w:pPr>
        <w:spacing w:line="360" w:lineRule="auto"/>
        <w:ind w:firstLineChars="91" w:firstLine="191"/>
        <w:rPr>
          <w:szCs w:val="21"/>
        </w:rPr>
      </w:pPr>
      <w:r>
        <w:rPr>
          <w:szCs w:val="21"/>
        </w:rPr>
        <w:t>验证单位：江苏省南通市食品药品监督检测中心、南京工业大学。</w:t>
      </w:r>
    </w:p>
    <w:p w:rsidR="009E517D" w:rsidRDefault="000614CB">
      <w:pPr>
        <w:spacing w:line="360" w:lineRule="auto"/>
        <w:ind w:firstLineChars="91" w:firstLine="191"/>
        <w:rPr>
          <w:szCs w:val="21"/>
        </w:rPr>
      </w:pPr>
      <w:r>
        <w:rPr>
          <w:szCs w:val="21"/>
        </w:rPr>
        <w:t>主要起草人：刘海虹、申超群、</w:t>
      </w:r>
      <w:proofErr w:type="gramStart"/>
      <w:r>
        <w:rPr>
          <w:szCs w:val="21"/>
        </w:rPr>
        <w:t>邓</w:t>
      </w:r>
      <w:proofErr w:type="gramEnd"/>
      <w:r>
        <w:rPr>
          <w:szCs w:val="21"/>
        </w:rPr>
        <w:t>皇翼、雷毅。</w:t>
      </w:r>
    </w:p>
    <w:sectPr w:rsidR="009E517D">
      <w:pgSz w:w="11906" w:h="16838"/>
      <w:pgMar w:top="1928" w:right="1531" w:bottom="1814" w:left="1531" w:header="851" w:footer="1247" w:gutter="0"/>
      <w:pgNumType w:fmt="numberInDash" w:start="8"/>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614CB">
      <w:r>
        <w:separator/>
      </w:r>
    </w:p>
  </w:endnote>
  <w:endnote w:type="continuationSeparator" w:id="0">
    <w:p w:rsidR="00000000" w:rsidRDefault="00061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950016"/>
    </w:sdtPr>
    <w:sdtEndPr/>
    <w:sdtContent>
      <w:p w:rsidR="009E517D" w:rsidRDefault="000614CB">
        <w:pPr>
          <w:pStyle w:val="a8"/>
          <w:jc w:val="center"/>
        </w:pPr>
        <w:r>
          <w:fldChar w:fldCharType="begin"/>
        </w:r>
        <w:r>
          <w:instrText>PAGE   \* MERGEFORMAT</w:instrText>
        </w:r>
        <w:r>
          <w:fldChar w:fldCharType="separate"/>
        </w:r>
        <w:r w:rsidRPr="000614CB">
          <w:rPr>
            <w:noProof/>
            <w:lang w:val="zh-CN"/>
          </w:rPr>
          <w:t>-</w:t>
        </w:r>
        <w:r>
          <w:rPr>
            <w:noProof/>
          </w:rPr>
          <w:t xml:space="preserve"> 1 -</w:t>
        </w:r>
        <w:r>
          <w:fldChar w:fldCharType="end"/>
        </w:r>
      </w:p>
    </w:sdtContent>
  </w:sdt>
  <w:p w:rsidR="009E517D" w:rsidRDefault="009E517D">
    <w:pPr>
      <w:pStyle w:val="a8"/>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614CB">
      <w:r>
        <w:separator/>
      </w:r>
    </w:p>
  </w:footnote>
  <w:footnote w:type="continuationSeparator" w:id="0">
    <w:p w:rsidR="00000000" w:rsidRDefault="000614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832BC"/>
    <w:multiLevelType w:val="multilevel"/>
    <w:tmpl w:val="1F5832BC"/>
    <w:lvl w:ilvl="0">
      <w:start w:val="1"/>
      <w:numFmt w:val="decimal"/>
      <w:lvlText w:val="6.%1"/>
      <w:lvlJc w:val="left"/>
      <w:pPr>
        <w:ind w:left="420" w:hanging="420"/>
      </w:pPr>
      <w:rPr>
        <w:rFonts w:hint="default"/>
      </w:rPr>
    </w:lvl>
    <w:lvl w:ilvl="1">
      <w:start w:val="1"/>
      <w:numFmt w:val="lowerLetter"/>
      <w:pStyle w:val="a"/>
      <w:lvlText w:val="%2)"/>
      <w:lvlJc w:val="left"/>
      <w:pPr>
        <w:ind w:left="840" w:hanging="420"/>
      </w:pPr>
    </w:lvl>
    <w:lvl w:ilvl="2">
      <w:start w:val="1"/>
      <w:numFmt w:val="decimal"/>
      <w:pStyle w:val="a0"/>
      <w:lvlText w:val="3.1.%3"/>
      <w:lvlJc w:val="left"/>
      <w:pPr>
        <w:ind w:left="567" w:firstLine="273"/>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710" w:firstLine="0"/>
      </w:pPr>
      <w:rPr>
        <w:rFonts w:ascii="黑体" w:eastAsia="黑体" w:hAnsi="黑体"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710" w:hanging="284"/>
      </w:pPr>
      <w:rPr>
        <w:rFonts w:ascii="黑体" w:eastAsia="黑体" w:hAnsi="黑体"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nsid w:val="657D3FBC"/>
    <w:multiLevelType w:val="multilevel"/>
    <w:tmpl w:val="657D3FBC"/>
    <w:lvl w:ilvl="0">
      <w:start w:val="1"/>
      <w:numFmt w:val="upperLetter"/>
      <w:pStyle w:val="a1"/>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suff w:val="nothing"/>
      <w:lvlText w:val="%1.%2　"/>
      <w:lvlJc w:val="left"/>
      <w:pPr>
        <w:ind w:left="1985"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proofState w:spelling="clean" w:grammar="clean"/>
  <w:revisionView w:markup="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654"/>
    <w:rsid w:val="000160C6"/>
    <w:rsid w:val="000614CB"/>
    <w:rsid w:val="00086005"/>
    <w:rsid w:val="000A0253"/>
    <w:rsid w:val="000D64CB"/>
    <w:rsid w:val="000F4691"/>
    <w:rsid w:val="001353A9"/>
    <w:rsid w:val="00162F9E"/>
    <w:rsid w:val="00173F6F"/>
    <w:rsid w:val="001828D4"/>
    <w:rsid w:val="001B3B49"/>
    <w:rsid w:val="001C1A70"/>
    <w:rsid w:val="001C346C"/>
    <w:rsid w:val="00207FAE"/>
    <w:rsid w:val="00223236"/>
    <w:rsid w:val="0023091E"/>
    <w:rsid w:val="002473E4"/>
    <w:rsid w:val="002600DE"/>
    <w:rsid w:val="00291170"/>
    <w:rsid w:val="002C294A"/>
    <w:rsid w:val="00306DBE"/>
    <w:rsid w:val="003139EC"/>
    <w:rsid w:val="003466BD"/>
    <w:rsid w:val="00385476"/>
    <w:rsid w:val="00430363"/>
    <w:rsid w:val="00440E30"/>
    <w:rsid w:val="004761D2"/>
    <w:rsid w:val="00494355"/>
    <w:rsid w:val="00496AB3"/>
    <w:rsid w:val="004E1FDE"/>
    <w:rsid w:val="00536898"/>
    <w:rsid w:val="00544852"/>
    <w:rsid w:val="00545ACA"/>
    <w:rsid w:val="005A037C"/>
    <w:rsid w:val="005B7970"/>
    <w:rsid w:val="005C4AC1"/>
    <w:rsid w:val="005F14E6"/>
    <w:rsid w:val="006003FD"/>
    <w:rsid w:val="006246C8"/>
    <w:rsid w:val="00631D70"/>
    <w:rsid w:val="00660651"/>
    <w:rsid w:val="00667992"/>
    <w:rsid w:val="00673E7A"/>
    <w:rsid w:val="006B63EE"/>
    <w:rsid w:val="006B7F97"/>
    <w:rsid w:val="006E49D9"/>
    <w:rsid w:val="006F48D8"/>
    <w:rsid w:val="00714A61"/>
    <w:rsid w:val="00730D02"/>
    <w:rsid w:val="00746BCF"/>
    <w:rsid w:val="00771DEA"/>
    <w:rsid w:val="007D5AEE"/>
    <w:rsid w:val="007F0684"/>
    <w:rsid w:val="007F19CA"/>
    <w:rsid w:val="007F35A0"/>
    <w:rsid w:val="00810776"/>
    <w:rsid w:val="0081426F"/>
    <w:rsid w:val="00827654"/>
    <w:rsid w:val="008C0F74"/>
    <w:rsid w:val="008C5C0F"/>
    <w:rsid w:val="0091368B"/>
    <w:rsid w:val="00924772"/>
    <w:rsid w:val="009320A6"/>
    <w:rsid w:val="00934408"/>
    <w:rsid w:val="009422C1"/>
    <w:rsid w:val="009664A8"/>
    <w:rsid w:val="0099460B"/>
    <w:rsid w:val="009A3D5C"/>
    <w:rsid w:val="009A5C46"/>
    <w:rsid w:val="009C6D4C"/>
    <w:rsid w:val="009E517D"/>
    <w:rsid w:val="009E7574"/>
    <w:rsid w:val="00A34669"/>
    <w:rsid w:val="00A43379"/>
    <w:rsid w:val="00A44FF7"/>
    <w:rsid w:val="00A5293E"/>
    <w:rsid w:val="00AE6F2F"/>
    <w:rsid w:val="00B332EA"/>
    <w:rsid w:val="00B41C08"/>
    <w:rsid w:val="00B57E3C"/>
    <w:rsid w:val="00B63685"/>
    <w:rsid w:val="00B729D7"/>
    <w:rsid w:val="00BD638C"/>
    <w:rsid w:val="00C16B1F"/>
    <w:rsid w:val="00C949DB"/>
    <w:rsid w:val="00CA040B"/>
    <w:rsid w:val="00CE046F"/>
    <w:rsid w:val="00CF0644"/>
    <w:rsid w:val="00CF0906"/>
    <w:rsid w:val="00D13A37"/>
    <w:rsid w:val="00D15235"/>
    <w:rsid w:val="00D61546"/>
    <w:rsid w:val="00D619DB"/>
    <w:rsid w:val="00D70E76"/>
    <w:rsid w:val="00D77819"/>
    <w:rsid w:val="00DC4F5C"/>
    <w:rsid w:val="00DC751C"/>
    <w:rsid w:val="00DD4974"/>
    <w:rsid w:val="00DF12D8"/>
    <w:rsid w:val="00E355F2"/>
    <w:rsid w:val="00E75556"/>
    <w:rsid w:val="00EC4874"/>
    <w:rsid w:val="00EC698F"/>
    <w:rsid w:val="00EF3672"/>
    <w:rsid w:val="00F30DCC"/>
    <w:rsid w:val="00F70FE0"/>
    <w:rsid w:val="00FA04D3"/>
    <w:rsid w:val="00FD79C8"/>
    <w:rsid w:val="00FE090D"/>
    <w:rsid w:val="00FE1522"/>
    <w:rsid w:val="00FF141A"/>
    <w:rsid w:val="02AA2A2F"/>
    <w:rsid w:val="03803E4A"/>
    <w:rsid w:val="06D51ECE"/>
    <w:rsid w:val="094363AA"/>
    <w:rsid w:val="0D06452C"/>
    <w:rsid w:val="0D64239D"/>
    <w:rsid w:val="0DC15F01"/>
    <w:rsid w:val="0DF95D30"/>
    <w:rsid w:val="0E584042"/>
    <w:rsid w:val="0F1052D3"/>
    <w:rsid w:val="10CA056A"/>
    <w:rsid w:val="12BB6277"/>
    <w:rsid w:val="13A11E72"/>
    <w:rsid w:val="151A56A7"/>
    <w:rsid w:val="15B52974"/>
    <w:rsid w:val="17F61592"/>
    <w:rsid w:val="18974F65"/>
    <w:rsid w:val="1EFF4D53"/>
    <w:rsid w:val="23C27F3B"/>
    <w:rsid w:val="23C70C80"/>
    <w:rsid w:val="23EE6F02"/>
    <w:rsid w:val="25D01D14"/>
    <w:rsid w:val="26E6736F"/>
    <w:rsid w:val="2DCF523A"/>
    <w:rsid w:val="2DD72677"/>
    <w:rsid w:val="2DE46771"/>
    <w:rsid w:val="32887086"/>
    <w:rsid w:val="32AA1E96"/>
    <w:rsid w:val="347D0A79"/>
    <w:rsid w:val="369D6252"/>
    <w:rsid w:val="383D5C2F"/>
    <w:rsid w:val="389E2821"/>
    <w:rsid w:val="3D890D49"/>
    <w:rsid w:val="3F1973C4"/>
    <w:rsid w:val="3F91772A"/>
    <w:rsid w:val="44467164"/>
    <w:rsid w:val="490B5877"/>
    <w:rsid w:val="4A9A7E82"/>
    <w:rsid w:val="4ABA2CCC"/>
    <w:rsid w:val="4D5509E7"/>
    <w:rsid w:val="4F921751"/>
    <w:rsid w:val="51742B44"/>
    <w:rsid w:val="52970E11"/>
    <w:rsid w:val="537662D2"/>
    <w:rsid w:val="5B2721AC"/>
    <w:rsid w:val="5CBA5E91"/>
    <w:rsid w:val="5E17330B"/>
    <w:rsid w:val="5E993126"/>
    <w:rsid w:val="5F98350A"/>
    <w:rsid w:val="607133BA"/>
    <w:rsid w:val="60A93F29"/>
    <w:rsid w:val="618A663D"/>
    <w:rsid w:val="64C53AC7"/>
    <w:rsid w:val="66F947D0"/>
    <w:rsid w:val="68BB735C"/>
    <w:rsid w:val="69E4382F"/>
    <w:rsid w:val="6A1F4F23"/>
    <w:rsid w:val="6E513BE9"/>
    <w:rsid w:val="6F3F4C77"/>
    <w:rsid w:val="709A6E9D"/>
    <w:rsid w:val="71636D1D"/>
    <w:rsid w:val="758C435D"/>
    <w:rsid w:val="7A2562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widowControl w:val="0"/>
      <w:jc w:val="both"/>
    </w:pPr>
    <w:rPr>
      <w:kern w:val="2"/>
      <w:sz w:val="21"/>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Date"/>
    <w:basedOn w:val="a2"/>
    <w:next w:val="a2"/>
    <w:link w:val="Char"/>
    <w:uiPriority w:val="99"/>
    <w:unhideWhenUsed/>
    <w:qFormat/>
    <w:pPr>
      <w:ind w:leftChars="2500" w:left="100"/>
    </w:pPr>
  </w:style>
  <w:style w:type="paragraph" w:styleId="a7">
    <w:name w:val="Balloon Text"/>
    <w:basedOn w:val="a2"/>
    <w:link w:val="Char0"/>
    <w:uiPriority w:val="99"/>
    <w:unhideWhenUsed/>
    <w:qFormat/>
    <w:rPr>
      <w:sz w:val="18"/>
      <w:szCs w:val="18"/>
    </w:rPr>
  </w:style>
  <w:style w:type="paragraph" w:styleId="a8">
    <w:name w:val="footer"/>
    <w:basedOn w:val="a2"/>
    <w:link w:val="Char1"/>
    <w:uiPriority w:val="99"/>
    <w:unhideWhenUsed/>
    <w:qFormat/>
    <w:pPr>
      <w:tabs>
        <w:tab w:val="center" w:pos="4153"/>
        <w:tab w:val="right" w:pos="8306"/>
      </w:tabs>
      <w:snapToGrid w:val="0"/>
      <w:jc w:val="left"/>
    </w:pPr>
    <w:rPr>
      <w:sz w:val="18"/>
      <w:szCs w:val="18"/>
    </w:rPr>
  </w:style>
  <w:style w:type="paragraph" w:styleId="a9">
    <w:name w:val="header"/>
    <w:basedOn w:val="a2"/>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3"/>
    <w:link w:val="a9"/>
    <w:uiPriority w:val="99"/>
    <w:qFormat/>
    <w:rPr>
      <w:sz w:val="18"/>
      <w:szCs w:val="18"/>
    </w:rPr>
  </w:style>
  <w:style w:type="character" w:customStyle="1" w:styleId="Char1">
    <w:name w:val="页脚 Char"/>
    <w:basedOn w:val="a3"/>
    <w:link w:val="a8"/>
    <w:uiPriority w:val="99"/>
    <w:qFormat/>
    <w:rPr>
      <w:sz w:val="18"/>
      <w:szCs w:val="18"/>
    </w:rPr>
  </w:style>
  <w:style w:type="character" w:customStyle="1" w:styleId="Char3">
    <w:name w:val="段 Char"/>
    <w:link w:val="aa"/>
    <w:qFormat/>
    <w:rPr>
      <w:rFonts w:ascii="宋体"/>
    </w:rPr>
  </w:style>
  <w:style w:type="paragraph" w:customStyle="1" w:styleId="aa">
    <w:name w:val="段"/>
    <w:link w:val="Char3"/>
    <w:qFormat/>
    <w:pPr>
      <w:tabs>
        <w:tab w:val="center" w:pos="4201"/>
        <w:tab w:val="right" w:leader="dot" w:pos="9298"/>
      </w:tabs>
      <w:autoSpaceDE w:val="0"/>
      <w:autoSpaceDN w:val="0"/>
      <w:ind w:firstLineChars="200" w:firstLine="420"/>
      <w:jc w:val="both"/>
    </w:pPr>
    <w:rPr>
      <w:rFonts w:ascii="宋体" w:eastAsiaTheme="minorEastAsia" w:hAnsiTheme="minorHAnsi" w:cstheme="minorBidi"/>
      <w:kern w:val="2"/>
      <w:sz w:val="21"/>
      <w:szCs w:val="22"/>
    </w:rPr>
  </w:style>
  <w:style w:type="paragraph" w:customStyle="1" w:styleId="a0">
    <w:name w:val="二级条标题"/>
    <w:basedOn w:val="a"/>
    <w:next w:val="aa"/>
    <w:qFormat/>
    <w:pPr>
      <w:numPr>
        <w:ilvl w:val="2"/>
      </w:numPr>
      <w:spacing w:before="50" w:after="50"/>
      <w:outlineLvl w:val="3"/>
    </w:pPr>
  </w:style>
  <w:style w:type="paragraph" w:customStyle="1" w:styleId="a">
    <w:name w:val="一级条标题"/>
    <w:next w:val="aa"/>
    <w:qFormat/>
    <w:pPr>
      <w:numPr>
        <w:ilvl w:val="1"/>
        <w:numId w:val="1"/>
      </w:numPr>
      <w:spacing w:beforeLines="50" w:afterLines="50"/>
      <w:outlineLvl w:val="2"/>
    </w:pPr>
    <w:rPr>
      <w:rFonts w:ascii="黑体" w:eastAsia="黑体"/>
      <w:sz w:val="21"/>
      <w:szCs w:val="21"/>
    </w:rPr>
  </w:style>
  <w:style w:type="paragraph" w:customStyle="1" w:styleId="ab">
    <w:name w:val="附录章标题"/>
    <w:next w:val="aa"/>
    <w:qFormat/>
    <w:pPr>
      <w:tabs>
        <w:tab w:val="left" w:pos="360"/>
      </w:tabs>
      <w:wordWrap w:val="0"/>
      <w:overflowPunct w:val="0"/>
      <w:autoSpaceDE w:val="0"/>
      <w:spacing w:beforeLines="100" w:afterLines="100"/>
      <w:ind w:left="840" w:hanging="420"/>
      <w:jc w:val="both"/>
      <w:textAlignment w:val="baseline"/>
      <w:outlineLvl w:val="1"/>
    </w:pPr>
    <w:rPr>
      <w:rFonts w:ascii="黑体" w:eastAsia="黑体"/>
      <w:kern w:val="21"/>
      <w:sz w:val="21"/>
    </w:rPr>
  </w:style>
  <w:style w:type="paragraph" w:customStyle="1" w:styleId="ac">
    <w:name w:val="附录图标号"/>
    <w:basedOn w:val="a2"/>
    <w:qFormat/>
    <w:pPr>
      <w:keepNext/>
      <w:pageBreakBefore/>
      <w:widowControl/>
      <w:tabs>
        <w:tab w:val="left" w:pos="720"/>
      </w:tabs>
      <w:spacing w:line="14" w:lineRule="exact"/>
      <w:ind w:left="720" w:firstLine="363"/>
      <w:jc w:val="center"/>
      <w:outlineLvl w:val="0"/>
    </w:pPr>
    <w:rPr>
      <w:color w:val="FFFFFF"/>
    </w:rPr>
  </w:style>
  <w:style w:type="paragraph" w:customStyle="1" w:styleId="1">
    <w:name w:val="列出段落1"/>
    <w:basedOn w:val="a2"/>
    <w:uiPriority w:val="63"/>
    <w:qFormat/>
    <w:pPr>
      <w:ind w:firstLineChars="200" w:firstLine="420"/>
    </w:pPr>
  </w:style>
  <w:style w:type="paragraph" w:customStyle="1" w:styleId="ad">
    <w:name w:val="章标题"/>
    <w:next w:val="aa"/>
    <w:qFormat/>
    <w:pPr>
      <w:spacing w:beforeLines="100" w:afterLines="100"/>
      <w:jc w:val="both"/>
      <w:outlineLvl w:val="1"/>
    </w:pPr>
    <w:rPr>
      <w:rFonts w:ascii="黑体" w:eastAsia="黑体"/>
      <w:sz w:val="21"/>
    </w:rPr>
  </w:style>
  <w:style w:type="character" w:customStyle="1" w:styleId="Char0">
    <w:name w:val="批注框文本 Char"/>
    <w:basedOn w:val="a3"/>
    <w:link w:val="a7"/>
    <w:uiPriority w:val="99"/>
    <w:semiHidden/>
    <w:qFormat/>
    <w:rPr>
      <w:rFonts w:ascii="Times New Roman" w:eastAsia="宋体" w:hAnsi="Times New Roman" w:cs="Times New Roman"/>
      <w:sz w:val="18"/>
      <w:szCs w:val="18"/>
    </w:rPr>
  </w:style>
  <w:style w:type="paragraph" w:customStyle="1" w:styleId="WPSOffice1">
    <w:name w:val="WPSOffice手动目录 1"/>
    <w:qFormat/>
    <w:rPr>
      <w:rFonts w:asciiTheme="minorHAnsi" w:eastAsiaTheme="minorEastAsia" w:hAnsiTheme="minorHAnsi" w:cstheme="minorBidi"/>
    </w:rPr>
  </w:style>
  <w:style w:type="paragraph" w:customStyle="1" w:styleId="WPSOffice2">
    <w:name w:val="WPSOffice手动目录 2"/>
    <w:qFormat/>
    <w:pPr>
      <w:ind w:leftChars="200" w:left="200"/>
    </w:pPr>
    <w:rPr>
      <w:rFonts w:asciiTheme="minorHAnsi" w:eastAsiaTheme="minorEastAsia" w:hAnsiTheme="minorHAnsi" w:cstheme="minorBidi"/>
    </w:rPr>
  </w:style>
  <w:style w:type="paragraph" w:customStyle="1" w:styleId="WPSOffice3">
    <w:name w:val="WPSOffice手动目录 3"/>
    <w:qFormat/>
    <w:pPr>
      <w:ind w:leftChars="400" w:left="400"/>
    </w:pPr>
    <w:rPr>
      <w:rFonts w:asciiTheme="minorHAnsi" w:eastAsiaTheme="minorEastAsia" w:hAnsiTheme="minorHAnsi" w:cstheme="minorBidi"/>
    </w:rPr>
  </w:style>
  <w:style w:type="character" w:customStyle="1" w:styleId="Char">
    <w:name w:val="日期 Char"/>
    <w:basedOn w:val="a3"/>
    <w:link w:val="a6"/>
    <w:uiPriority w:val="99"/>
    <w:semiHidden/>
    <w:qFormat/>
    <w:rPr>
      <w:kern w:val="2"/>
      <w:sz w:val="21"/>
      <w:szCs w:val="24"/>
    </w:rPr>
  </w:style>
  <w:style w:type="paragraph" w:customStyle="1" w:styleId="a1">
    <w:name w:val="附录标识"/>
    <w:basedOn w:val="a2"/>
    <w:next w:val="aa"/>
    <w:qFormat/>
    <w:pPr>
      <w:keepNext/>
      <w:widowControl/>
      <w:numPr>
        <w:numId w:val="2"/>
      </w:numPr>
      <w:shd w:val="clear" w:color="FFFFFF" w:fill="FFFFFF"/>
      <w:spacing w:before="640" w:after="280"/>
      <w:jc w:val="center"/>
      <w:outlineLvl w:val="0"/>
    </w:pPr>
    <w:rPr>
      <w:rFonts w:ascii="黑体" w:eastAsia="黑体"/>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widowControl w:val="0"/>
      <w:jc w:val="both"/>
    </w:pPr>
    <w:rPr>
      <w:kern w:val="2"/>
      <w:sz w:val="21"/>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Date"/>
    <w:basedOn w:val="a2"/>
    <w:next w:val="a2"/>
    <w:link w:val="Char"/>
    <w:uiPriority w:val="99"/>
    <w:unhideWhenUsed/>
    <w:qFormat/>
    <w:pPr>
      <w:ind w:leftChars="2500" w:left="100"/>
    </w:pPr>
  </w:style>
  <w:style w:type="paragraph" w:styleId="a7">
    <w:name w:val="Balloon Text"/>
    <w:basedOn w:val="a2"/>
    <w:link w:val="Char0"/>
    <w:uiPriority w:val="99"/>
    <w:unhideWhenUsed/>
    <w:qFormat/>
    <w:rPr>
      <w:sz w:val="18"/>
      <w:szCs w:val="18"/>
    </w:rPr>
  </w:style>
  <w:style w:type="paragraph" w:styleId="a8">
    <w:name w:val="footer"/>
    <w:basedOn w:val="a2"/>
    <w:link w:val="Char1"/>
    <w:uiPriority w:val="99"/>
    <w:unhideWhenUsed/>
    <w:qFormat/>
    <w:pPr>
      <w:tabs>
        <w:tab w:val="center" w:pos="4153"/>
        <w:tab w:val="right" w:pos="8306"/>
      </w:tabs>
      <w:snapToGrid w:val="0"/>
      <w:jc w:val="left"/>
    </w:pPr>
    <w:rPr>
      <w:sz w:val="18"/>
      <w:szCs w:val="18"/>
    </w:rPr>
  </w:style>
  <w:style w:type="paragraph" w:styleId="a9">
    <w:name w:val="header"/>
    <w:basedOn w:val="a2"/>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3"/>
    <w:link w:val="a9"/>
    <w:uiPriority w:val="99"/>
    <w:qFormat/>
    <w:rPr>
      <w:sz w:val="18"/>
      <w:szCs w:val="18"/>
    </w:rPr>
  </w:style>
  <w:style w:type="character" w:customStyle="1" w:styleId="Char1">
    <w:name w:val="页脚 Char"/>
    <w:basedOn w:val="a3"/>
    <w:link w:val="a8"/>
    <w:uiPriority w:val="99"/>
    <w:qFormat/>
    <w:rPr>
      <w:sz w:val="18"/>
      <w:szCs w:val="18"/>
    </w:rPr>
  </w:style>
  <w:style w:type="character" w:customStyle="1" w:styleId="Char3">
    <w:name w:val="段 Char"/>
    <w:link w:val="aa"/>
    <w:qFormat/>
    <w:rPr>
      <w:rFonts w:ascii="宋体"/>
    </w:rPr>
  </w:style>
  <w:style w:type="paragraph" w:customStyle="1" w:styleId="aa">
    <w:name w:val="段"/>
    <w:link w:val="Char3"/>
    <w:qFormat/>
    <w:pPr>
      <w:tabs>
        <w:tab w:val="center" w:pos="4201"/>
        <w:tab w:val="right" w:leader="dot" w:pos="9298"/>
      </w:tabs>
      <w:autoSpaceDE w:val="0"/>
      <w:autoSpaceDN w:val="0"/>
      <w:ind w:firstLineChars="200" w:firstLine="420"/>
      <w:jc w:val="both"/>
    </w:pPr>
    <w:rPr>
      <w:rFonts w:ascii="宋体" w:eastAsiaTheme="minorEastAsia" w:hAnsiTheme="minorHAnsi" w:cstheme="minorBidi"/>
      <w:kern w:val="2"/>
      <w:sz w:val="21"/>
      <w:szCs w:val="22"/>
    </w:rPr>
  </w:style>
  <w:style w:type="paragraph" w:customStyle="1" w:styleId="a0">
    <w:name w:val="二级条标题"/>
    <w:basedOn w:val="a"/>
    <w:next w:val="aa"/>
    <w:qFormat/>
    <w:pPr>
      <w:numPr>
        <w:ilvl w:val="2"/>
      </w:numPr>
      <w:spacing w:before="50" w:after="50"/>
      <w:outlineLvl w:val="3"/>
    </w:pPr>
  </w:style>
  <w:style w:type="paragraph" w:customStyle="1" w:styleId="a">
    <w:name w:val="一级条标题"/>
    <w:next w:val="aa"/>
    <w:qFormat/>
    <w:pPr>
      <w:numPr>
        <w:ilvl w:val="1"/>
        <w:numId w:val="1"/>
      </w:numPr>
      <w:spacing w:beforeLines="50" w:afterLines="50"/>
      <w:outlineLvl w:val="2"/>
    </w:pPr>
    <w:rPr>
      <w:rFonts w:ascii="黑体" w:eastAsia="黑体"/>
      <w:sz w:val="21"/>
      <w:szCs w:val="21"/>
    </w:rPr>
  </w:style>
  <w:style w:type="paragraph" w:customStyle="1" w:styleId="ab">
    <w:name w:val="附录章标题"/>
    <w:next w:val="aa"/>
    <w:qFormat/>
    <w:pPr>
      <w:tabs>
        <w:tab w:val="left" w:pos="360"/>
      </w:tabs>
      <w:wordWrap w:val="0"/>
      <w:overflowPunct w:val="0"/>
      <w:autoSpaceDE w:val="0"/>
      <w:spacing w:beforeLines="100" w:afterLines="100"/>
      <w:ind w:left="840" w:hanging="420"/>
      <w:jc w:val="both"/>
      <w:textAlignment w:val="baseline"/>
      <w:outlineLvl w:val="1"/>
    </w:pPr>
    <w:rPr>
      <w:rFonts w:ascii="黑体" w:eastAsia="黑体"/>
      <w:kern w:val="21"/>
      <w:sz w:val="21"/>
    </w:rPr>
  </w:style>
  <w:style w:type="paragraph" w:customStyle="1" w:styleId="ac">
    <w:name w:val="附录图标号"/>
    <w:basedOn w:val="a2"/>
    <w:qFormat/>
    <w:pPr>
      <w:keepNext/>
      <w:pageBreakBefore/>
      <w:widowControl/>
      <w:tabs>
        <w:tab w:val="left" w:pos="720"/>
      </w:tabs>
      <w:spacing w:line="14" w:lineRule="exact"/>
      <w:ind w:left="720" w:firstLine="363"/>
      <w:jc w:val="center"/>
      <w:outlineLvl w:val="0"/>
    </w:pPr>
    <w:rPr>
      <w:color w:val="FFFFFF"/>
    </w:rPr>
  </w:style>
  <w:style w:type="paragraph" w:customStyle="1" w:styleId="1">
    <w:name w:val="列出段落1"/>
    <w:basedOn w:val="a2"/>
    <w:uiPriority w:val="63"/>
    <w:qFormat/>
    <w:pPr>
      <w:ind w:firstLineChars="200" w:firstLine="420"/>
    </w:pPr>
  </w:style>
  <w:style w:type="paragraph" w:customStyle="1" w:styleId="ad">
    <w:name w:val="章标题"/>
    <w:next w:val="aa"/>
    <w:qFormat/>
    <w:pPr>
      <w:spacing w:beforeLines="100" w:afterLines="100"/>
      <w:jc w:val="both"/>
      <w:outlineLvl w:val="1"/>
    </w:pPr>
    <w:rPr>
      <w:rFonts w:ascii="黑体" w:eastAsia="黑体"/>
      <w:sz w:val="21"/>
    </w:rPr>
  </w:style>
  <w:style w:type="character" w:customStyle="1" w:styleId="Char0">
    <w:name w:val="批注框文本 Char"/>
    <w:basedOn w:val="a3"/>
    <w:link w:val="a7"/>
    <w:uiPriority w:val="99"/>
    <w:semiHidden/>
    <w:qFormat/>
    <w:rPr>
      <w:rFonts w:ascii="Times New Roman" w:eastAsia="宋体" w:hAnsi="Times New Roman" w:cs="Times New Roman"/>
      <w:sz w:val="18"/>
      <w:szCs w:val="18"/>
    </w:rPr>
  </w:style>
  <w:style w:type="paragraph" w:customStyle="1" w:styleId="WPSOffice1">
    <w:name w:val="WPSOffice手动目录 1"/>
    <w:qFormat/>
    <w:rPr>
      <w:rFonts w:asciiTheme="minorHAnsi" w:eastAsiaTheme="minorEastAsia" w:hAnsiTheme="minorHAnsi" w:cstheme="minorBidi"/>
    </w:rPr>
  </w:style>
  <w:style w:type="paragraph" w:customStyle="1" w:styleId="WPSOffice2">
    <w:name w:val="WPSOffice手动目录 2"/>
    <w:qFormat/>
    <w:pPr>
      <w:ind w:leftChars="200" w:left="200"/>
    </w:pPr>
    <w:rPr>
      <w:rFonts w:asciiTheme="minorHAnsi" w:eastAsiaTheme="minorEastAsia" w:hAnsiTheme="minorHAnsi" w:cstheme="minorBidi"/>
    </w:rPr>
  </w:style>
  <w:style w:type="paragraph" w:customStyle="1" w:styleId="WPSOffice3">
    <w:name w:val="WPSOffice手动目录 3"/>
    <w:qFormat/>
    <w:pPr>
      <w:ind w:leftChars="400" w:left="400"/>
    </w:pPr>
    <w:rPr>
      <w:rFonts w:asciiTheme="minorHAnsi" w:eastAsiaTheme="minorEastAsia" w:hAnsiTheme="minorHAnsi" w:cstheme="minorBidi"/>
    </w:rPr>
  </w:style>
  <w:style w:type="character" w:customStyle="1" w:styleId="Char">
    <w:name w:val="日期 Char"/>
    <w:basedOn w:val="a3"/>
    <w:link w:val="a6"/>
    <w:uiPriority w:val="99"/>
    <w:semiHidden/>
    <w:qFormat/>
    <w:rPr>
      <w:kern w:val="2"/>
      <w:sz w:val="21"/>
      <w:szCs w:val="24"/>
    </w:rPr>
  </w:style>
  <w:style w:type="paragraph" w:customStyle="1" w:styleId="a1">
    <w:name w:val="附录标识"/>
    <w:basedOn w:val="a2"/>
    <w:next w:val="aa"/>
    <w:qFormat/>
    <w:pPr>
      <w:keepNext/>
      <w:widowControl/>
      <w:numPr>
        <w:numId w:val="2"/>
      </w:numPr>
      <w:shd w:val="clear" w:color="FFFFFF" w:fill="FFFFFF"/>
      <w:spacing w:before="640" w:after="280"/>
      <w:jc w:val="center"/>
      <w:outlineLvl w:val="0"/>
    </w:pPr>
    <w:rPr>
      <w:rFonts w:ascii="黑体" w:eastAsia="黑体"/>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3926CA-5FD4-4CEE-953F-C26202209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2906</Words>
  <Characters>878</Characters>
  <Application>Microsoft Office Word</Application>
  <DocSecurity>0</DocSecurity>
  <Lines>7</Lines>
  <Paragraphs>7</Paragraphs>
  <ScaleCrop>false</ScaleCrop>
  <Company>CFDA</Company>
  <LinksUpToDate>false</LinksUpToDate>
  <CharactersWithSpaces>3777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杜婧举</dc:creator>
  <cp:lastModifiedBy>韩世鹤</cp:lastModifiedBy>
  <cp:revision>2</cp:revision>
  <cp:lastPrinted>2018-05-16T06:12:00Z</cp:lastPrinted>
  <dcterms:created xsi:type="dcterms:W3CDTF">2019-10-11T03:16:00Z</dcterms:created>
  <dcterms:modified xsi:type="dcterms:W3CDTF">2019-10-11T03:16:00Z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