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6" w:rsidRPr="002600DE" w:rsidRDefault="00810776" w:rsidP="000D64CB">
      <w:pPr>
        <w:rPr>
          <w:rFonts w:ascii="黑体" w:eastAsia="黑体" w:hAnsi="黑体"/>
          <w:sz w:val="32"/>
          <w:szCs w:val="32"/>
        </w:rPr>
      </w:pPr>
      <w:r w:rsidRPr="002600DE">
        <w:rPr>
          <w:rFonts w:ascii="黑体" w:eastAsia="黑体" w:hAnsi="黑体"/>
          <w:sz w:val="32"/>
          <w:szCs w:val="32"/>
        </w:rPr>
        <w:t>附件1</w:t>
      </w:r>
    </w:p>
    <w:p w:rsidR="00810776" w:rsidRPr="004D78C2" w:rsidRDefault="00810776" w:rsidP="00810776">
      <w:pPr>
        <w:pStyle w:val="a7"/>
        <w:spacing w:line="240" w:lineRule="exact"/>
        <w:ind w:firstLineChars="0" w:firstLine="0"/>
        <w:jc w:val="center"/>
        <w:rPr>
          <w:rFonts w:ascii="方正小标宋简体" w:eastAsia="方正小标宋简体"/>
          <w:sz w:val="32"/>
        </w:rPr>
      </w:pPr>
    </w:p>
    <w:p w:rsidR="00810776" w:rsidRPr="004D78C2" w:rsidRDefault="00810776" w:rsidP="00810776">
      <w:pPr>
        <w:spacing w:line="640" w:lineRule="exact"/>
        <w:jc w:val="center"/>
        <w:rPr>
          <w:rFonts w:ascii="方正小标宋简体" w:eastAsia="方正小标宋简体"/>
          <w:sz w:val="44"/>
          <w:szCs w:val="44"/>
        </w:rPr>
      </w:pPr>
      <w:r w:rsidRPr="004D78C2">
        <w:rPr>
          <w:rFonts w:ascii="方正小标宋简体" w:eastAsia="方正小标宋简体" w:hint="eastAsia"/>
          <w:sz w:val="44"/>
          <w:szCs w:val="44"/>
        </w:rPr>
        <w:t>食品中吗啡、可待因的快速检测</w:t>
      </w:r>
    </w:p>
    <w:p w:rsidR="00810776" w:rsidRPr="004D78C2" w:rsidRDefault="00810776" w:rsidP="00810776">
      <w:pPr>
        <w:spacing w:line="640" w:lineRule="exact"/>
        <w:jc w:val="center"/>
        <w:rPr>
          <w:rFonts w:ascii="方正小标宋简体" w:eastAsia="方正小标宋简体"/>
          <w:spacing w:val="10"/>
          <w:sz w:val="44"/>
          <w:szCs w:val="44"/>
        </w:rPr>
      </w:pPr>
      <w:r w:rsidRPr="004D78C2">
        <w:rPr>
          <w:rFonts w:ascii="方正小标宋简体" w:eastAsia="方正小标宋简体" w:hint="eastAsia"/>
          <w:spacing w:val="10"/>
          <w:sz w:val="44"/>
          <w:szCs w:val="44"/>
        </w:rPr>
        <w:t>胶体金免疫层析法（KJ201707）</w:t>
      </w:r>
    </w:p>
    <w:p w:rsidR="00810776" w:rsidRPr="00EE3DDB" w:rsidRDefault="00810776" w:rsidP="00810776">
      <w:pPr>
        <w:spacing w:line="460" w:lineRule="exact"/>
        <w:ind w:left="426"/>
        <w:rPr>
          <w:rFonts w:eastAsia="黑体"/>
          <w:sz w:val="32"/>
          <w:szCs w:val="32"/>
        </w:rPr>
      </w:pPr>
    </w:p>
    <w:p w:rsidR="00810776" w:rsidRPr="00EE3DDB" w:rsidRDefault="00810776" w:rsidP="002600DE">
      <w:pPr>
        <w:spacing w:beforeLines="50" w:afterLines="50"/>
        <w:rPr>
          <w:rFonts w:eastAsia="黑体"/>
        </w:rPr>
      </w:pPr>
      <w:r w:rsidRPr="00EE3DDB">
        <w:rPr>
          <w:rFonts w:eastAsia="黑体"/>
        </w:rPr>
        <w:t>1</w:t>
      </w:r>
      <w:r w:rsidRPr="00EE3DDB">
        <w:rPr>
          <w:rFonts w:eastAsia="黑体"/>
        </w:rPr>
        <w:t>范围</w:t>
      </w:r>
    </w:p>
    <w:p w:rsidR="00810776" w:rsidRPr="00EE3DDB" w:rsidRDefault="00810776" w:rsidP="00810776">
      <w:pPr>
        <w:ind w:firstLineChars="200" w:firstLine="420"/>
        <w:rPr>
          <w:szCs w:val="21"/>
        </w:rPr>
      </w:pPr>
      <w:r w:rsidRPr="00EE3DDB">
        <w:rPr>
          <w:szCs w:val="21"/>
        </w:rPr>
        <w:t>本方法规定了食品中吗啡、可待因的胶体金免疫层析快速检测方法。</w:t>
      </w:r>
    </w:p>
    <w:p w:rsidR="00810776" w:rsidRPr="00EE3DDB" w:rsidRDefault="00810776" w:rsidP="00810776">
      <w:pPr>
        <w:ind w:firstLineChars="200" w:firstLine="420"/>
        <w:rPr>
          <w:szCs w:val="21"/>
        </w:rPr>
      </w:pPr>
      <w:r w:rsidRPr="00EE3DDB">
        <w:rPr>
          <w:szCs w:val="21"/>
        </w:rPr>
        <w:t>本方法适用于经调味料、火锅底料、麻辣烫底料或其</w:t>
      </w:r>
      <w:r>
        <w:rPr>
          <w:rFonts w:hint="eastAsia"/>
          <w:szCs w:val="21"/>
        </w:rPr>
        <w:t>他</w:t>
      </w:r>
      <w:r w:rsidRPr="00EE3DDB">
        <w:rPr>
          <w:szCs w:val="21"/>
        </w:rPr>
        <w:t>食用汤料等勾兑、调配或添加形成的液体食品；经调味酱、调味油脂、火锅底料、麻辣烫底料、蘸料或其</w:t>
      </w:r>
      <w:r>
        <w:rPr>
          <w:rFonts w:hint="eastAsia"/>
          <w:szCs w:val="21"/>
        </w:rPr>
        <w:t>他</w:t>
      </w:r>
      <w:r w:rsidRPr="00EE3DDB">
        <w:rPr>
          <w:szCs w:val="21"/>
        </w:rPr>
        <w:t>调味料等勾兑、调配或添加形成的半固体食品，酱油；经香辛香料、复合调味料等勾兑、调配或添加形成的固体食品，食用醋（含以食用醋为主的调味料）中吗啡、可待因的快速测定。</w:t>
      </w:r>
    </w:p>
    <w:p w:rsidR="00810776" w:rsidRPr="00EE3DDB" w:rsidRDefault="00810776" w:rsidP="002600DE">
      <w:pPr>
        <w:spacing w:beforeLines="50" w:afterLines="50"/>
        <w:rPr>
          <w:rFonts w:eastAsia="黑体"/>
        </w:rPr>
      </w:pPr>
      <w:r w:rsidRPr="00EE3DDB">
        <w:rPr>
          <w:rFonts w:eastAsia="黑体"/>
        </w:rPr>
        <w:t>2</w:t>
      </w:r>
      <w:r w:rsidRPr="00EE3DDB">
        <w:rPr>
          <w:rFonts w:eastAsia="黑体"/>
        </w:rPr>
        <w:t>原理</w:t>
      </w:r>
    </w:p>
    <w:p w:rsidR="00810776" w:rsidRPr="00EE3DDB" w:rsidRDefault="00810776" w:rsidP="00810776">
      <w:pPr>
        <w:ind w:firstLineChars="200" w:firstLine="420"/>
        <w:rPr>
          <w:szCs w:val="21"/>
        </w:rPr>
      </w:pPr>
      <w:r w:rsidRPr="00EE3DDB">
        <w:rPr>
          <w:szCs w:val="21"/>
        </w:rPr>
        <w:t>本方法采用竞争抑制免疫层析原理。样品中的吗啡、可待因经水提取后与胶体金标记的特异性抗体结合，抑制抗体和检测线（</w:t>
      </w:r>
      <w:r w:rsidRPr="00EE3DDB">
        <w:rPr>
          <w:szCs w:val="21"/>
        </w:rPr>
        <w:t>T</w:t>
      </w:r>
      <w:r w:rsidRPr="00EE3DDB">
        <w:rPr>
          <w:szCs w:val="21"/>
        </w:rPr>
        <w:t>线）上抗原的结合，导致检测线颜色深浅的变化。通过检测线与控制线（</w:t>
      </w:r>
      <w:r w:rsidRPr="00EE3DDB">
        <w:rPr>
          <w:szCs w:val="21"/>
        </w:rPr>
        <w:t>C</w:t>
      </w:r>
      <w:r w:rsidRPr="00EE3DDB">
        <w:rPr>
          <w:szCs w:val="21"/>
        </w:rPr>
        <w:t>线）颜色深浅比较，对样品中吗啡、可待因进行定性判定。</w:t>
      </w:r>
    </w:p>
    <w:p w:rsidR="00810776" w:rsidRPr="00EE3DDB" w:rsidRDefault="00810776" w:rsidP="002600DE">
      <w:pPr>
        <w:spacing w:beforeLines="50" w:afterLines="50"/>
        <w:rPr>
          <w:rFonts w:eastAsia="黑体"/>
        </w:rPr>
      </w:pPr>
      <w:r w:rsidRPr="00EE3DDB">
        <w:rPr>
          <w:rFonts w:eastAsia="黑体"/>
        </w:rPr>
        <w:t>3</w:t>
      </w:r>
      <w:r w:rsidRPr="00EE3DDB">
        <w:rPr>
          <w:rFonts w:eastAsia="黑体"/>
        </w:rPr>
        <w:t>试剂与材料</w:t>
      </w:r>
    </w:p>
    <w:p w:rsidR="00810776" w:rsidRPr="00EE3DDB" w:rsidRDefault="00810776" w:rsidP="00810776">
      <w:pPr>
        <w:ind w:firstLineChars="200" w:firstLine="420"/>
        <w:rPr>
          <w:szCs w:val="21"/>
        </w:rPr>
      </w:pPr>
      <w:r w:rsidRPr="00EE3DDB">
        <w:rPr>
          <w:szCs w:val="21"/>
        </w:rPr>
        <w:t>除另有规定外，本方法所用试剂均为分析纯，水为</w:t>
      </w:r>
      <w:r w:rsidRPr="00EE3DDB">
        <w:rPr>
          <w:szCs w:val="21"/>
        </w:rPr>
        <w:t>GB/T 6682</w:t>
      </w:r>
      <w:r w:rsidRPr="00EE3DDB">
        <w:rPr>
          <w:szCs w:val="21"/>
        </w:rPr>
        <w:t>规定的三级水。</w:t>
      </w:r>
    </w:p>
    <w:p w:rsidR="00810776" w:rsidRPr="00EE3DDB" w:rsidRDefault="00810776" w:rsidP="002600DE">
      <w:pPr>
        <w:spacing w:beforeLines="50" w:afterLines="50"/>
        <w:rPr>
          <w:rFonts w:eastAsia="黑体"/>
        </w:rPr>
      </w:pPr>
      <w:r w:rsidRPr="00EE3DDB">
        <w:rPr>
          <w:rFonts w:eastAsia="黑体"/>
        </w:rPr>
        <w:t>3.1</w:t>
      </w:r>
      <w:r w:rsidRPr="00EE3DDB">
        <w:rPr>
          <w:rFonts w:eastAsia="黑体"/>
        </w:rPr>
        <w:t>试剂</w:t>
      </w:r>
    </w:p>
    <w:p w:rsidR="00810776" w:rsidRPr="00EE3DDB" w:rsidRDefault="00810776" w:rsidP="002600DE">
      <w:pPr>
        <w:spacing w:beforeLines="50" w:afterLines="50"/>
        <w:ind w:firstLineChars="150" w:firstLine="315"/>
        <w:rPr>
          <w:rFonts w:eastAsia="黑体"/>
        </w:rPr>
      </w:pPr>
      <w:r w:rsidRPr="00EE3DDB">
        <w:rPr>
          <w:szCs w:val="21"/>
        </w:rPr>
        <w:t>甲醇。</w:t>
      </w:r>
    </w:p>
    <w:p w:rsidR="00810776" w:rsidRPr="00EE3DDB" w:rsidRDefault="00810776" w:rsidP="002600DE">
      <w:pPr>
        <w:spacing w:beforeLines="50" w:afterLines="50"/>
        <w:rPr>
          <w:rFonts w:eastAsia="黑体"/>
        </w:rPr>
      </w:pPr>
      <w:r w:rsidRPr="00EE3DDB">
        <w:rPr>
          <w:rFonts w:eastAsia="黑体"/>
        </w:rPr>
        <w:t>3.2</w:t>
      </w:r>
      <w:r w:rsidRPr="00EE3DDB">
        <w:rPr>
          <w:rFonts w:eastAsia="黑体"/>
        </w:rPr>
        <w:t>参考物质</w:t>
      </w:r>
    </w:p>
    <w:p w:rsidR="00810776" w:rsidRPr="00EE3DDB" w:rsidRDefault="00810776" w:rsidP="00810776">
      <w:pPr>
        <w:ind w:firstLineChars="200" w:firstLine="420"/>
        <w:rPr>
          <w:szCs w:val="21"/>
        </w:rPr>
      </w:pPr>
      <w:r w:rsidRPr="00EE3DDB">
        <w:rPr>
          <w:szCs w:val="21"/>
        </w:rPr>
        <w:t>吗啡、可待因参考物质的中文名称、英文名称、</w:t>
      </w:r>
      <w:r w:rsidRPr="00EE3DDB">
        <w:rPr>
          <w:szCs w:val="21"/>
        </w:rPr>
        <w:t>CAS</w:t>
      </w:r>
      <w:r w:rsidRPr="00EE3DDB">
        <w:rPr>
          <w:szCs w:val="21"/>
        </w:rPr>
        <w:t>登录号、分子式、相对分子量见表</w:t>
      </w:r>
      <w:r w:rsidRPr="00EE3DDB">
        <w:rPr>
          <w:szCs w:val="21"/>
        </w:rPr>
        <w:t>1</w:t>
      </w:r>
      <w:r w:rsidRPr="00EE3DDB">
        <w:rPr>
          <w:szCs w:val="21"/>
        </w:rPr>
        <w:t>，纯度均</w:t>
      </w:r>
      <w:r w:rsidRPr="00EE3DDB">
        <w:rPr>
          <w:szCs w:val="21"/>
        </w:rPr>
        <w:t>≥99%</w:t>
      </w:r>
      <w:r w:rsidRPr="00EE3DDB">
        <w:rPr>
          <w:szCs w:val="21"/>
        </w:rPr>
        <w:t>。</w:t>
      </w:r>
    </w:p>
    <w:p w:rsidR="00810776" w:rsidRPr="00EE3DDB" w:rsidRDefault="00810776" w:rsidP="00810776">
      <w:pPr>
        <w:pStyle w:val="a8"/>
        <w:spacing w:before="312" w:after="312"/>
        <w:ind w:left="142" w:firstLine="0"/>
        <w:jc w:val="center"/>
        <w:rPr>
          <w:rFonts w:ascii="Times New Roman"/>
        </w:rPr>
      </w:pPr>
      <w:r w:rsidRPr="00EE3DDB">
        <w:rPr>
          <w:rFonts w:ascii="Times New Roman"/>
        </w:rPr>
        <w:t>表</w:t>
      </w:r>
      <w:r w:rsidRPr="00EE3DDB">
        <w:rPr>
          <w:rFonts w:ascii="Times New Roman"/>
        </w:rPr>
        <w:t xml:space="preserve">1 </w:t>
      </w:r>
      <w:r w:rsidRPr="00EE3DDB">
        <w:rPr>
          <w:rFonts w:ascii="Times New Roman"/>
        </w:rPr>
        <w:t>吗啡、可待因参考物质的中文名称、英文名称、</w:t>
      </w:r>
      <w:r w:rsidRPr="00EE3DDB">
        <w:rPr>
          <w:rFonts w:ascii="Times New Roman"/>
        </w:rPr>
        <w:t>CAS</w:t>
      </w:r>
      <w:r w:rsidRPr="00EE3DDB">
        <w:rPr>
          <w:rFonts w:ascii="Times New Roman"/>
        </w:rPr>
        <w:t>登录号、分子式、相对分子量</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5"/>
        <w:gridCol w:w="1418"/>
        <w:gridCol w:w="2126"/>
        <w:gridCol w:w="1418"/>
        <w:gridCol w:w="1841"/>
        <w:gridCol w:w="1323"/>
      </w:tblGrid>
      <w:tr w:rsidR="00810776" w:rsidRPr="00EE3DDB" w:rsidTr="00AC333A">
        <w:trPr>
          <w:trHeight w:val="646"/>
          <w:jc w:val="center"/>
        </w:trPr>
        <w:tc>
          <w:tcPr>
            <w:tcW w:w="675"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序号</w:t>
            </w:r>
          </w:p>
        </w:tc>
        <w:tc>
          <w:tcPr>
            <w:tcW w:w="1418"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中文名称</w:t>
            </w:r>
          </w:p>
        </w:tc>
        <w:tc>
          <w:tcPr>
            <w:tcW w:w="2126"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英文名称</w:t>
            </w:r>
          </w:p>
        </w:tc>
        <w:tc>
          <w:tcPr>
            <w:tcW w:w="1418"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CAS</w:t>
            </w:r>
            <w:r w:rsidRPr="00EE3DDB">
              <w:t>登录号</w:t>
            </w:r>
          </w:p>
        </w:tc>
        <w:tc>
          <w:tcPr>
            <w:tcW w:w="1841"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分子式</w:t>
            </w:r>
          </w:p>
        </w:tc>
        <w:tc>
          <w:tcPr>
            <w:tcW w:w="1323"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相对分子量</w:t>
            </w:r>
          </w:p>
        </w:tc>
      </w:tr>
      <w:tr w:rsidR="00810776" w:rsidRPr="00EE3DDB" w:rsidTr="00AC333A">
        <w:trPr>
          <w:trHeight w:val="540"/>
          <w:jc w:val="center"/>
        </w:trPr>
        <w:tc>
          <w:tcPr>
            <w:tcW w:w="675"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1</w:t>
            </w:r>
          </w:p>
        </w:tc>
        <w:tc>
          <w:tcPr>
            <w:tcW w:w="1418"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rPr>
                <w:szCs w:val="20"/>
              </w:rPr>
              <w:t>吗啡</w:t>
            </w:r>
          </w:p>
        </w:tc>
        <w:tc>
          <w:tcPr>
            <w:tcW w:w="2126" w:type="dxa"/>
            <w:tcMar>
              <w:top w:w="0" w:type="dxa"/>
              <w:left w:w="108" w:type="dxa"/>
              <w:bottom w:w="0" w:type="dxa"/>
              <w:right w:w="108" w:type="dxa"/>
            </w:tcMar>
            <w:vAlign w:val="center"/>
          </w:tcPr>
          <w:p w:rsidR="00810776" w:rsidRPr="00EE3DDB" w:rsidRDefault="00810776" w:rsidP="00AC333A">
            <w:pPr>
              <w:jc w:val="center"/>
            </w:pPr>
            <w:r w:rsidRPr="00EE3DDB">
              <w:rPr>
                <w:bCs/>
                <w:szCs w:val="21"/>
              </w:rPr>
              <w:t>Morphine</w:t>
            </w:r>
          </w:p>
        </w:tc>
        <w:tc>
          <w:tcPr>
            <w:tcW w:w="1418" w:type="dxa"/>
            <w:tcMar>
              <w:top w:w="0" w:type="dxa"/>
              <w:left w:w="108" w:type="dxa"/>
              <w:bottom w:w="0" w:type="dxa"/>
              <w:right w:w="108" w:type="dxa"/>
            </w:tcMar>
            <w:vAlign w:val="center"/>
          </w:tcPr>
          <w:p w:rsidR="00810776" w:rsidRPr="00EE3DDB" w:rsidRDefault="00810776" w:rsidP="00AC333A">
            <w:pPr>
              <w:jc w:val="center"/>
            </w:pPr>
            <w:r w:rsidRPr="00EE3DDB">
              <w:rPr>
                <w:szCs w:val="21"/>
              </w:rPr>
              <w:t>57-27-2</w:t>
            </w:r>
          </w:p>
        </w:tc>
        <w:tc>
          <w:tcPr>
            <w:tcW w:w="1841" w:type="dxa"/>
            <w:tcMar>
              <w:top w:w="0" w:type="dxa"/>
              <w:left w:w="108" w:type="dxa"/>
              <w:bottom w:w="0" w:type="dxa"/>
              <w:right w:w="108" w:type="dxa"/>
            </w:tcMar>
            <w:vAlign w:val="center"/>
          </w:tcPr>
          <w:p w:rsidR="00810776" w:rsidRPr="00EE3DDB" w:rsidRDefault="00810776" w:rsidP="00AC333A">
            <w:pPr>
              <w:snapToGrid w:val="0"/>
              <w:jc w:val="center"/>
              <w:rPr>
                <w:szCs w:val="21"/>
              </w:rPr>
            </w:pPr>
            <w:r w:rsidRPr="00EE3DDB">
              <w:rPr>
                <w:szCs w:val="21"/>
              </w:rPr>
              <w:t>C</w:t>
            </w:r>
            <w:r w:rsidRPr="00EE3DDB">
              <w:rPr>
                <w:szCs w:val="21"/>
                <w:vertAlign w:val="subscript"/>
              </w:rPr>
              <w:t>17</w:t>
            </w:r>
            <w:r w:rsidRPr="00EE3DDB">
              <w:rPr>
                <w:szCs w:val="21"/>
              </w:rPr>
              <w:t>H</w:t>
            </w:r>
            <w:r w:rsidRPr="00EE3DDB">
              <w:rPr>
                <w:szCs w:val="21"/>
                <w:vertAlign w:val="subscript"/>
              </w:rPr>
              <w:t>19</w:t>
            </w:r>
            <w:r w:rsidRPr="00EE3DDB">
              <w:rPr>
                <w:szCs w:val="21"/>
              </w:rPr>
              <w:t>NO</w:t>
            </w:r>
            <w:r w:rsidRPr="00EE3DDB">
              <w:rPr>
                <w:szCs w:val="21"/>
                <w:vertAlign w:val="subscript"/>
              </w:rPr>
              <w:t>3</w:t>
            </w:r>
          </w:p>
        </w:tc>
        <w:tc>
          <w:tcPr>
            <w:tcW w:w="1323" w:type="dxa"/>
            <w:tcMar>
              <w:top w:w="0" w:type="dxa"/>
              <w:left w:w="108" w:type="dxa"/>
              <w:bottom w:w="0" w:type="dxa"/>
              <w:right w:w="108" w:type="dxa"/>
            </w:tcMar>
            <w:vAlign w:val="center"/>
          </w:tcPr>
          <w:p w:rsidR="00810776" w:rsidRPr="00EE3DDB" w:rsidRDefault="00810776" w:rsidP="00AC333A">
            <w:pPr>
              <w:jc w:val="center"/>
            </w:pPr>
            <w:r w:rsidRPr="00EE3DDB">
              <w:t>285.34</w:t>
            </w:r>
          </w:p>
        </w:tc>
      </w:tr>
      <w:tr w:rsidR="00810776" w:rsidRPr="00EE3DDB" w:rsidTr="00AC333A">
        <w:trPr>
          <w:trHeight w:val="788"/>
          <w:jc w:val="center"/>
        </w:trPr>
        <w:tc>
          <w:tcPr>
            <w:tcW w:w="675"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2</w:t>
            </w:r>
          </w:p>
        </w:tc>
        <w:tc>
          <w:tcPr>
            <w:tcW w:w="1418"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rPr>
                <w:szCs w:val="20"/>
              </w:rPr>
              <w:t>磷酸可待因</w:t>
            </w:r>
          </w:p>
        </w:tc>
        <w:tc>
          <w:tcPr>
            <w:tcW w:w="2126" w:type="dxa"/>
            <w:tcMar>
              <w:top w:w="0" w:type="dxa"/>
              <w:left w:w="108" w:type="dxa"/>
              <w:bottom w:w="0" w:type="dxa"/>
              <w:right w:w="108" w:type="dxa"/>
            </w:tcMar>
            <w:vAlign w:val="center"/>
          </w:tcPr>
          <w:p w:rsidR="00810776" w:rsidRPr="00EE3DDB" w:rsidRDefault="00810776" w:rsidP="00AC333A">
            <w:pPr>
              <w:jc w:val="center"/>
            </w:pPr>
            <w:r w:rsidRPr="00EE3DDB">
              <w:rPr>
                <w:bCs/>
                <w:szCs w:val="21"/>
              </w:rPr>
              <w:t>CodeinePhosphate</w:t>
            </w:r>
          </w:p>
        </w:tc>
        <w:tc>
          <w:tcPr>
            <w:tcW w:w="1418" w:type="dxa"/>
            <w:tcMar>
              <w:top w:w="0" w:type="dxa"/>
              <w:left w:w="108" w:type="dxa"/>
              <w:bottom w:w="0" w:type="dxa"/>
              <w:right w:w="108" w:type="dxa"/>
            </w:tcMar>
            <w:vAlign w:val="center"/>
          </w:tcPr>
          <w:p w:rsidR="00810776" w:rsidRPr="00EE3DDB" w:rsidRDefault="00810776" w:rsidP="00AC333A">
            <w:pPr>
              <w:jc w:val="center"/>
            </w:pPr>
            <w:r w:rsidRPr="00EE3DDB">
              <w:rPr>
                <w:szCs w:val="21"/>
              </w:rPr>
              <w:t>41444-62-6</w:t>
            </w:r>
          </w:p>
        </w:tc>
        <w:tc>
          <w:tcPr>
            <w:tcW w:w="1841" w:type="dxa"/>
            <w:tcMar>
              <w:top w:w="0" w:type="dxa"/>
              <w:left w:w="108" w:type="dxa"/>
              <w:bottom w:w="0" w:type="dxa"/>
              <w:right w:w="108" w:type="dxa"/>
            </w:tcMar>
            <w:vAlign w:val="center"/>
          </w:tcPr>
          <w:p w:rsidR="00810776" w:rsidRPr="00EE3DDB" w:rsidRDefault="00810776" w:rsidP="00AC333A">
            <w:pPr>
              <w:snapToGrid w:val="0"/>
              <w:jc w:val="center"/>
              <w:rPr>
                <w:szCs w:val="21"/>
              </w:rPr>
            </w:pPr>
            <w:r w:rsidRPr="00EE3DDB">
              <w:rPr>
                <w:szCs w:val="21"/>
              </w:rPr>
              <w:t>C</w:t>
            </w:r>
            <w:r w:rsidRPr="00EE3DDB">
              <w:rPr>
                <w:szCs w:val="21"/>
                <w:vertAlign w:val="subscript"/>
              </w:rPr>
              <w:t>18</w:t>
            </w:r>
            <w:r w:rsidRPr="00EE3DDB">
              <w:rPr>
                <w:szCs w:val="21"/>
              </w:rPr>
              <w:t>H</w:t>
            </w:r>
            <w:r w:rsidRPr="00EE3DDB">
              <w:rPr>
                <w:szCs w:val="21"/>
                <w:vertAlign w:val="subscript"/>
              </w:rPr>
              <w:t>21</w:t>
            </w:r>
            <w:r w:rsidRPr="00EE3DDB">
              <w:rPr>
                <w:szCs w:val="21"/>
              </w:rPr>
              <w:t>NO</w:t>
            </w:r>
            <w:r w:rsidRPr="00EE3DDB">
              <w:rPr>
                <w:szCs w:val="21"/>
                <w:vertAlign w:val="subscript"/>
              </w:rPr>
              <w:t>3</w:t>
            </w:r>
            <w:r w:rsidRPr="00EE3DDB">
              <w:rPr>
                <w:szCs w:val="21"/>
              </w:rPr>
              <w:t>•H</w:t>
            </w:r>
            <w:r w:rsidRPr="00EE3DDB">
              <w:rPr>
                <w:szCs w:val="21"/>
                <w:vertAlign w:val="subscript"/>
              </w:rPr>
              <w:t>3</w:t>
            </w:r>
            <w:r w:rsidRPr="00EE3DDB">
              <w:rPr>
                <w:szCs w:val="21"/>
              </w:rPr>
              <w:t>PO</w:t>
            </w:r>
            <w:r w:rsidRPr="00EE3DDB">
              <w:rPr>
                <w:szCs w:val="21"/>
                <w:vertAlign w:val="subscript"/>
              </w:rPr>
              <w:t>4</w:t>
            </w:r>
            <w:r w:rsidRPr="00EE3DDB">
              <w:rPr>
                <w:szCs w:val="21"/>
              </w:rPr>
              <w:t>•3/2H</w:t>
            </w:r>
            <w:r w:rsidRPr="00EE3DDB">
              <w:rPr>
                <w:szCs w:val="21"/>
                <w:vertAlign w:val="subscript"/>
              </w:rPr>
              <w:t>2</w:t>
            </w:r>
            <w:r w:rsidRPr="00EE3DDB">
              <w:rPr>
                <w:szCs w:val="21"/>
              </w:rPr>
              <w:t>O</w:t>
            </w:r>
          </w:p>
        </w:tc>
        <w:tc>
          <w:tcPr>
            <w:tcW w:w="1323" w:type="dxa"/>
            <w:tcMar>
              <w:top w:w="0" w:type="dxa"/>
              <w:left w:w="108" w:type="dxa"/>
              <w:bottom w:w="0" w:type="dxa"/>
              <w:right w:w="108" w:type="dxa"/>
            </w:tcMar>
            <w:vAlign w:val="center"/>
          </w:tcPr>
          <w:p w:rsidR="00810776" w:rsidRPr="00EE3DDB" w:rsidRDefault="00810776" w:rsidP="00AC333A">
            <w:pPr>
              <w:jc w:val="center"/>
            </w:pPr>
            <w:r w:rsidRPr="00EE3DDB">
              <w:t>424.39</w:t>
            </w:r>
          </w:p>
        </w:tc>
      </w:tr>
    </w:tbl>
    <w:p w:rsidR="00810776" w:rsidRPr="00EE3DDB" w:rsidRDefault="00810776" w:rsidP="00810776">
      <w:pPr>
        <w:spacing w:line="320" w:lineRule="exact"/>
        <w:ind w:firstLineChars="200" w:firstLine="360"/>
        <w:rPr>
          <w:sz w:val="18"/>
          <w:szCs w:val="18"/>
        </w:rPr>
      </w:pPr>
      <w:r w:rsidRPr="00EE3DDB">
        <w:rPr>
          <w:sz w:val="18"/>
          <w:szCs w:val="18"/>
        </w:rPr>
        <w:t>注：或等同可溯源物质。</w:t>
      </w:r>
    </w:p>
    <w:p w:rsidR="00810776" w:rsidRPr="00EE3DDB" w:rsidRDefault="00810776" w:rsidP="000D64CB">
      <w:pPr>
        <w:pStyle w:val="a"/>
        <w:numPr>
          <w:ilvl w:val="0"/>
          <w:numId w:val="0"/>
        </w:numPr>
        <w:spacing w:before="156" w:after="156" w:line="288" w:lineRule="auto"/>
        <w:rPr>
          <w:rFonts w:ascii="Times New Roman"/>
        </w:rPr>
      </w:pPr>
      <w:r w:rsidRPr="00EE3DDB">
        <w:rPr>
          <w:rFonts w:ascii="Times New Roman"/>
          <w:kern w:val="2"/>
          <w:szCs w:val="24"/>
        </w:rPr>
        <w:lastRenderedPageBreak/>
        <w:t>3.3</w:t>
      </w:r>
      <w:r w:rsidRPr="00EE3DDB">
        <w:rPr>
          <w:rFonts w:ascii="Times New Roman"/>
        </w:rPr>
        <w:t>标准溶液配制</w:t>
      </w:r>
    </w:p>
    <w:p w:rsidR="00810776" w:rsidRPr="00EE3DDB" w:rsidRDefault="00810776" w:rsidP="00810776">
      <w:r w:rsidRPr="00EE3DDB">
        <w:t>3.3.1</w:t>
      </w:r>
      <w:r w:rsidRPr="00EE3DDB">
        <w:t>吗啡、可待因标准储备液（</w:t>
      </w:r>
      <w:r w:rsidRPr="00EE3DDB">
        <w:t>1 mg/mL</w:t>
      </w:r>
      <w:r w:rsidRPr="00EE3DDB">
        <w:t>）：精密称取适量吗啡、可待因参考物质（</w:t>
      </w:r>
      <w:r w:rsidRPr="00EE3DDB">
        <w:t>3.2</w:t>
      </w:r>
      <w:r w:rsidRPr="00EE3DDB">
        <w:t>），用甲醇（</w:t>
      </w:r>
      <w:r w:rsidRPr="00EE3DDB">
        <w:t>3.1</w:t>
      </w:r>
      <w:r w:rsidRPr="00EE3DDB">
        <w:t>）溶解并稀释至刻度，摇匀，分别制成浓度为</w:t>
      </w:r>
      <w:r w:rsidRPr="00EE3DDB">
        <w:t>1 mg/mL</w:t>
      </w:r>
      <w:r w:rsidRPr="00EE3DDB">
        <w:t>的吗啡、可待因标准储备液。</w:t>
      </w:r>
      <w:r w:rsidRPr="00EE3DDB">
        <w:t>-20</w:t>
      </w:r>
      <w:r w:rsidRPr="00EE3DDB">
        <w:rPr>
          <w:rFonts w:ascii="宋体" w:hAnsi="宋体" w:cs="宋体" w:hint="eastAsia"/>
        </w:rPr>
        <w:t>℃</w:t>
      </w:r>
      <w:r w:rsidRPr="00EE3DDB">
        <w:t>避光保存，有效期</w:t>
      </w:r>
      <w:r w:rsidRPr="00EE3DDB">
        <w:t>1</w:t>
      </w:r>
      <w:r w:rsidRPr="00EE3DDB">
        <w:t>年。</w:t>
      </w:r>
    </w:p>
    <w:p w:rsidR="00810776" w:rsidRPr="00EE3DDB" w:rsidRDefault="00810776" w:rsidP="00810776">
      <w:r w:rsidRPr="00EE3DDB">
        <w:t>3.3.2</w:t>
      </w:r>
      <w:r w:rsidRPr="00EE3DDB">
        <w:t>吗啡、可待因标准中间液（</w:t>
      </w:r>
      <w:r w:rsidRPr="00EE3DDB">
        <w:t>10 μg/mL</w:t>
      </w:r>
      <w:r w:rsidRPr="00EE3DDB">
        <w:t>）：精密移取吗啡、可待因标准储备液（</w:t>
      </w:r>
      <w:r w:rsidRPr="00EE3DDB">
        <w:t>1 mg/mL</w:t>
      </w:r>
      <w:r w:rsidRPr="00EE3DDB">
        <w:t>）（</w:t>
      </w:r>
      <w:r w:rsidRPr="00EE3DDB">
        <w:t>3.3.1</w:t>
      </w:r>
      <w:r w:rsidRPr="00EE3DDB">
        <w:t>）</w:t>
      </w:r>
      <w:r w:rsidRPr="00EE3DDB">
        <w:t>1 mL</w:t>
      </w:r>
      <w:r w:rsidRPr="00EE3DDB">
        <w:t>分别置于</w:t>
      </w:r>
      <w:r w:rsidRPr="00EE3DDB">
        <w:t>100 mL</w:t>
      </w:r>
      <w:r w:rsidRPr="00EE3DDB">
        <w:t>容量瓶中，用甲醇（</w:t>
      </w:r>
      <w:r w:rsidRPr="00EE3DDB">
        <w:t>3.1</w:t>
      </w:r>
      <w:r w:rsidRPr="00EE3DDB">
        <w:t>）稀释至刻度，摇匀，制成浓度为</w:t>
      </w:r>
      <w:r w:rsidRPr="00EE3DDB">
        <w:t>10 μg/mL</w:t>
      </w:r>
      <w:r w:rsidRPr="00EE3DDB">
        <w:t>的吗啡、可待因标准中间液。</w:t>
      </w:r>
      <w:r w:rsidRPr="00EE3DDB">
        <w:t>-20</w:t>
      </w:r>
      <w:r w:rsidRPr="00EE3DDB">
        <w:rPr>
          <w:rFonts w:ascii="宋体" w:hAnsi="宋体" w:cs="宋体" w:hint="eastAsia"/>
        </w:rPr>
        <w:t>℃</w:t>
      </w:r>
      <w:r w:rsidRPr="00EE3DDB">
        <w:t>避光保存，有效期</w:t>
      </w:r>
      <w:r w:rsidRPr="00EE3DDB">
        <w:t>3</w:t>
      </w:r>
      <w:r w:rsidRPr="00EE3DDB">
        <w:t>个月。</w:t>
      </w:r>
    </w:p>
    <w:p w:rsidR="00810776" w:rsidRPr="00EE3DDB" w:rsidRDefault="00810776" w:rsidP="00810776">
      <w:r w:rsidRPr="00EE3DDB">
        <w:t>3.3.3</w:t>
      </w:r>
      <w:r w:rsidRPr="00EE3DDB">
        <w:t>吗啡、可待因标准工作液（</w:t>
      </w:r>
      <w:r w:rsidRPr="00EE3DDB">
        <w:t>1 μg/mL</w:t>
      </w:r>
      <w:r w:rsidRPr="00EE3DDB">
        <w:t>）：精密移取吗啡、可待因标准中间液（</w:t>
      </w:r>
      <w:r w:rsidRPr="00EE3DDB">
        <w:t>10 μg/mL</w:t>
      </w:r>
      <w:r w:rsidRPr="00EE3DDB">
        <w:t>）（</w:t>
      </w:r>
      <w:r w:rsidRPr="00EE3DDB">
        <w:t>3.3.2</w:t>
      </w:r>
      <w:r w:rsidRPr="00EE3DDB">
        <w:t>）</w:t>
      </w:r>
      <w:r w:rsidRPr="00EE3DDB">
        <w:t>1 mL</w:t>
      </w:r>
      <w:r w:rsidRPr="00EE3DDB">
        <w:t>分别置于</w:t>
      </w:r>
      <w:r w:rsidRPr="00EE3DDB">
        <w:t>10 mL</w:t>
      </w:r>
      <w:r w:rsidRPr="00EE3DDB">
        <w:t>容量瓶中，用水稀释至刻度，摇匀，制成浓度为</w:t>
      </w:r>
      <w:r w:rsidRPr="00EE3DDB">
        <w:t>1 μg/mL</w:t>
      </w:r>
      <w:r w:rsidRPr="00EE3DDB">
        <w:t>的吗啡、可待因标准工作液。</w:t>
      </w:r>
      <w:r w:rsidRPr="00EE3DDB">
        <w:t>4</w:t>
      </w:r>
      <w:r w:rsidRPr="00EE3DDB">
        <w:rPr>
          <w:rFonts w:ascii="宋体" w:hAnsi="宋体" w:cs="宋体" w:hint="eastAsia"/>
        </w:rPr>
        <w:t>℃</w:t>
      </w:r>
      <w:r w:rsidRPr="00EE3DDB">
        <w:t>避光保存，有效期</w:t>
      </w:r>
      <w:r w:rsidRPr="00EE3DDB">
        <w:t>1</w:t>
      </w:r>
      <w:r w:rsidRPr="00EE3DDB">
        <w:t>个月。</w:t>
      </w:r>
    </w:p>
    <w:p w:rsidR="00810776" w:rsidRPr="00EE3DDB" w:rsidRDefault="00810776" w:rsidP="000D64CB">
      <w:pPr>
        <w:pStyle w:val="a"/>
        <w:numPr>
          <w:ilvl w:val="0"/>
          <w:numId w:val="0"/>
        </w:numPr>
        <w:spacing w:before="156" w:after="156" w:line="288" w:lineRule="auto"/>
        <w:rPr>
          <w:rFonts w:ascii="Times New Roman"/>
          <w:kern w:val="2"/>
          <w:szCs w:val="24"/>
        </w:rPr>
      </w:pPr>
      <w:r w:rsidRPr="00EE3DDB">
        <w:rPr>
          <w:rFonts w:ascii="Times New Roman"/>
          <w:kern w:val="2"/>
          <w:szCs w:val="24"/>
        </w:rPr>
        <w:t>3.4</w:t>
      </w:r>
      <w:r w:rsidRPr="00EE3DDB">
        <w:rPr>
          <w:rFonts w:ascii="Times New Roman"/>
          <w:kern w:val="2"/>
          <w:szCs w:val="24"/>
        </w:rPr>
        <w:t>材料</w:t>
      </w:r>
    </w:p>
    <w:p w:rsidR="00810776" w:rsidRPr="00EE3DDB" w:rsidRDefault="00810776" w:rsidP="000D64CB">
      <w:pPr>
        <w:pStyle w:val="a"/>
        <w:numPr>
          <w:ilvl w:val="0"/>
          <w:numId w:val="0"/>
        </w:numPr>
        <w:spacing w:before="156" w:after="156" w:line="288" w:lineRule="auto"/>
        <w:ind w:firstLineChars="200" w:firstLine="420"/>
        <w:rPr>
          <w:rFonts w:ascii="Times New Roman"/>
          <w:kern w:val="2"/>
        </w:rPr>
      </w:pPr>
      <w:r w:rsidRPr="00EE3DDB">
        <w:rPr>
          <w:rFonts w:ascii="Times New Roman" w:eastAsia="宋体"/>
          <w:kern w:val="2"/>
          <w:szCs w:val="24"/>
        </w:rPr>
        <w:t>吗啡、可待因胶体金免疫层析检测卡，及配套的试剂（可选），适用基质为食品。</w:t>
      </w:r>
    </w:p>
    <w:p w:rsidR="00810776" w:rsidRPr="00EE3DDB" w:rsidRDefault="00810776" w:rsidP="002600DE">
      <w:pPr>
        <w:spacing w:beforeLines="50" w:afterLines="50"/>
        <w:rPr>
          <w:rFonts w:eastAsia="黑体"/>
        </w:rPr>
      </w:pPr>
      <w:r w:rsidRPr="00EE3DDB">
        <w:rPr>
          <w:rFonts w:eastAsia="黑体"/>
        </w:rPr>
        <w:t>4</w:t>
      </w:r>
      <w:r w:rsidRPr="00EE3DDB">
        <w:rPr>
          <w:rFonts w:eastAsia="黑体"/>
        </w:rPr>
        <w:t>仪器和设备</w:t>
      </w:r>
    </w:p>
    <w:p w:rsidR="00810776" w:rsidRPr="00EE3DDB" w:rsidRDefault="00810776" w:rsidP="000D64CB">
      <w:pPr>
        <w:pStyle w:val="a"/>
        <w:numPr>
          <w:ilvl w:val="0"/>
          <w:numId w:val="0"/>
        </w:numPr>
        <w:spacing w:before="156" w:after="156"/>
        <w:rPr>
          <w:rFonts w:ascii="Times New Roman"/>
          <w:szCs w:val="20"/>
        </w:rPr>
      </w:pPr>
      <w:r w:rsidRPr="00EE3DDB">
        <w:rPr>
          <w:rFonts w:ascii="Times New Roman"/>
          <w:kern w:val="2"/>
          <w:szCs w:val="24"/>
        </w:rPr>
        <w:t>4.1</w:t>
      </w:r>
      <w:r w:rsidRPr="00EE3DDB">
        <w:rPr>
          <w:rFonts w:ascii="Times New Roman"/>
        </w:rPr>
        <w:t>天平：</w:t>
      </w:r>
      <w:r w:rsidRPr="00EE3DDB">
        <w:rPr>
          <w:rFonts w:ascii="Times New Roman"/>
          <w:szCs w:val="20"/>
        </w:rPr>
        <w:t>感量为</w:t>
      </w:r>
      <w:r w:rsidRPr="00EE3DDB">
        <w:rPr>
          <w:rFonts w:ascii="Times New Roman"/>
          <w:szCs w:val="20"/>
        </w:rPr>
        <w:t>0.01g</w:t>
      </w:r>
      <w:r w:rsidRPr="00EE3DDB">
        <w:rPr>
          <w:rFonts w:ascii="Times New Roman"/>
          <w:szCs w:val="20"/>
        </w:rPr>
        <w:t>。</w:t>
      </w:r>
    </w:p>
    <w:p w:rsidR="00810776" w:rsidRPr="00EE3DDB" w:rsidRDefault="00810776" w:rsidP="000D64CB">
      <w:pPr>
        <w:pStyle w:val="a"/>
        <w:numPr>
          <w:ilvl w:val="0"/>
          <w:numId w:val="0"/>
        </w:numPr>
        <w:spacing w:before="156" w:after="156"/>
        <w:ind w:left="1277" w:hanging="1277"/>
        <w:rPr>
          <w:rFonts w:ascii="Times New Roman"/>
        </w:rPr>
      </w:pPr>
      <w:r w:rsidRPr="00EE3DDB">
        <w:rPr>
          <w:rFonts w:ascii="Times New Roman"/>
          <w:kern w:val="2"/>
          <w:szCs w:val="24"/>
        </w:rPr>
        <w:t xml:space="preserve">4.2 </w:t>
      </w:r>
      <w:r w:rsidRPr="00EE3DDB">
        <w:rPr>
          <w:rFonts w:ascii="Times New Roman"/>
        </w:rPr>
        <w:t>读数仪：</w:t>
      </w:r>
      <w:r w:rsidRPr="00EE3DDB">
        <w:rPr>
          <w:rFonts w:ascii="Times New Roman"/>
          <w:szCs w:val="20"/>
        </w:rPr>
        <w:t>产品配套可使用的检测仪器（可选）。</w:t>
      </w:r>
    </w:p>
    <w:p w:rsidR="00810776" w:rsidRPr="00EE3DDB" w:rsidRDefault="00810776" w:rsidP="000D64CB">
      <w:pPr>
        <w:pStyle w:val="a"/>
        <w:numPr>
          <w:ilvl w:val="0"/>
          <w:numId w:val="0"/>
        </w:numPr>
        <w:spacing w:before="156" w:after="156"/>
        <w:ind w:left="1277" w:hanging="1277"/>
        <w:rPr>
          <w:rFonts w:ascii="Times New Roman"/>
        </w:rPr>
      </w:pPr>
      <w:r w:rsidRPr="00EE3DDB">
        <w:rPr>
          <w:rFonts w:ascii="Times New Roman"/>
          <w:kern w:val="2"/>
          <w:szCs w:val="24"/>
        </w:rPr>
        <w:t xml:space="preserve">4.3 </w:t>
      </w:r>
      <w:r w:rsidRPr="00EE3DDB">
        <w:rPr>
          <w:rFonts w:ascii="Times New Roman"/>
        </w:rPr>
        <w:t>环境条件：</w:t>
      </w:r>
      <w:r w:rsidRPr="00EE3DDB">
        <w:rPr>
          <w:rFonts w:ascii="Times New Roman"/>
          <w:szCs w:val="20"/>
        </w:rPr>
        <w:t>温度</w:t>
      </w:r>
      <w:r w:rsidRPr="00EE3DDB">
        <w:rPr>
          <w:rFonts w:ascii="Times New Roman"/>
          <w:szCs w:val="20"/>
        </w:rPr>
        <w:t>10</w:t>
      </w:r>
      <w:r w:rsidRPr="004D78C2">
        <w:rPr>
          <w:rFonts w:ascii="仿宋_GB2312" w:eastAsia="仿宋_GB2312" w:hint="eastAsia"/>
        </w:rPr>
        <w:t>—</w:t>
      </w:r>
      <w:r w:rsidRPr="00EE3DDB">
        <w:rPr>
          <w:rFonts w:ascii="Times New Roman"/>
          <w:szCs w:val="20"/>
        </w:rPr>
        <w:t>40</w:t>
      </w:r>
      <w:r w:rsidRPr="00EE3DDB">
        <w:rPr>
          <w:rFonts w:ascii="宋体" w:eastAsia="宋体" w:hAnsi="宋体" w:cs="宋体" w:hint="eastAsia"/>
          <w:szCs w:val="20"/>
        </w:rPr>
        <w:t>℃</w:t>
      </w:r>
      <w:r w:rsidRPr="00EE3DDB">
        <w:rPr>
          <w:rFonts w:ascii="Times New Roman"/>
          <w:szCs w:val="20"/>
        </w:rPr>
        <w:t>，相对湿度</w:t>
      </w:r>
      <w:r w:rsidRPr="00EE3DDB">
        <w:rPr>
          <w:rFonts w:ascii="Times New Roman"/>
          <w:szCs w:val="20"/>
        </w:rPr>
        <w:t>≤80%</w:t>
      </w:r>
      <w:r w:rsidRPr="00EE3DDB">
        <w:rPr>
          <w:rFonts w:ascii="Times New Roman"/>
          <w:szCs w:val="20"/>
        </w:rPr>
        <w:t>。</w:t>
      </w:r>
    </w:p>
    <w:p w:rsidR="00810776" w:rsidRPr="00EE3DDB" w:rsidRDefault="00810776" w:rsidP="002600DE">
      <w:pPr>
        <w:spacing w:beforeLines="50" w:afterLines="50"/>
        <w:rPr>
          <w:rFonts w:eastAsia="黑体"/>
        </w:rPr>
      </w:pPr>
      <w:r w:rsidRPr="00EE3DDB">
        <w:rPr>
          <w:rFonts w:eastAsia="黑体"/>
        </w:rPr>
        <w:t>5</w:t>
      </w:r>
      <w:r w:rsidRPr="00EE3DDB">
        <w:rPr>
          <w:rFonts w:eastAsia="黑体"/>
        </w:rPr>
        <w:t>分析步骤</w:t>
      </w:r>
    </w:p>
    <w:p w:rsidR="00810776" w:rsidRPr="00EE3DDB" w:rsidRDefault="00810776" w:rsidP="002600DE">
      <w:pPr>
        <w:spacing w:beforeLines="50" w:afterLines="50"/>
        <w:rPr>
          <w:rFonts w:eastAsia="黑体"/>
        </w:rPr>
      </w:pPr>
      <w:r w:rsidRPr="00EE3DDB">
        <w:rPr>
          <w:rFonts w:eastAsia="黑体"/>
        </w:rPr>
        <w:t>5.1</w:t>
      </w:r>
      <w:r w:rsidRPr="00EE3DDB">
        <w:rPr>
          <w:rFonts w:eastAsia="黑体"/>
        </w:rPr>
        <w:t>试样制备</w:t>
      </w:r>
    </w:p>
    <w:p w:rsidR="00810776" w:rsidRPr="00EE3DDB" w:rsidRDefault="00810776" w:rsidP="002600DE">
      <w:pPr>
        <w:spacing w:beforeLines="50" w:afterLines="50"/>
        <w:ind w:firstLineChars="200" w:firstLine="420"/>
        <w:rPr>
          <w:szCs w:val="21"/>
        </w:rPr>
      </w:pPr>
      <w:r w:rsidRPr="00EE3DDB">
        <w:rPr>
          <w:szCs w:val="21"/>
        </w:rPr>
        <w:t>取适量样品，液体样品或半固体样品充分混匀，固体样品充分粉碎混匀。</w:t>
      </w:r>
    </w:p>
    <w:p w:rsidR="00810776" w:rsidRPr="00EE3DDB" w:rsidRDefault="00810776" w:rsidP="002600DE">
      <w:pPr>
        <w:spacing w:beforeLines="50" w:afterLines="50"/>
        <w:rPr>
          <w:rFonts w:eastAsia="黑体"/>
        </w:rPr>
      </w:pPr>
      <w:r w:rsidRPr="00EE3DDB">
        <w:rPr>
          <w:rFonts w:eastAsia="黑体"/>
        </w:rPr>
        <w:t>5.2</w:t>
      </w:r>
      <w:r w:rsidRPr="00EE3DDB">
        <w:rPr>
          <w:rFonts w:eastAsia="黑体"/>
        </w:rPr>
        <w:t>试样提取和净化</w:t>
      </w:r>
    </w:p>
    <w:p w:rsidR="00810776" w:rsidRPr="00EE3DDB" w:rsidRDefault="00810776" w:rsidP="00810776">
      <w:pPr>
        <w:rPr>
          <w:szCs w:val="21"/>
        </w:rPr>
      </w:pPr>
      <w:r w:rsidRPr="00EE3DDB">
        <w:t>5.2.1</w:t>
      </w:r>
      <w:r w:rsidRPr="00EE3DDB">
        <w:t>液体食品：</w:t>
      </w:r>
      <w:r w:rsidRPr="00EE3DDB">
        <w:rPr>
          <w:szCs w:val="21"/>
        </w:rPr>
        <w:t>吸取试样（尽量避免吸取油脂层）测定。层析展不开时，用</w:t>
      </w:r>
      <w:r w:rsidRPr="00EE3DDB">
        <w:rPr>
          <w:szCs w:val="21"/>
        </w:rPr>
        <w:t>0.45 µm</w:t>
      </w:r>
      <w:r w:rsidRPr="00EE3DDB">
        <w:rPr>
          <w:szCs w:val="21"/>
        </w:rPr>
        <w:t>微孔滤膜过滤后测定。</w:t>
      </w:r>
    </w:p>
    <w:p w:rsidR="00810776" w:rsidRPr="00EE3DDB" w:rsidRDefault="00810776" w:rsidP="00810776">
      <w:pPr>
        <w:rPr>
          <w:szCs w:val="21"/>
        </w:rPr>
      </w:pPr>
      <w:r w:rsidRPr="00EE3DDB">
        <w:t>5.2.2</w:t>
      </w:r>
      <w:r w:rsidRPr="00EE3DDB">
        <w:t>半固体食品及酱油：</w:t>
      </w:r>
      <w:r w:rsidRPr="00EE3DDB">
        <w:rPr>
          <w:szCs w:val="21"/>
        </w:rPr>
        <w:t>准确称取试样</w:t>
      </w:r>
      <w:r w:rsidRPr="00EE3DDB">
        <w:rPr>
          <w:szCs w:val="21"/>
        </w:rPr>
        <w:t>1 g±0.1 g</w:t>
      </w:r>
      <w:r w:rsidRPr="00EE3DDB">
        <w:rPr>
          <w:szCs w:val="21"/>
        </w:rPr>
        <w:t>于</w:t>
      </w:r>
      <w:r w:rsidRPr="00EE3DDB">
        <w:rPr>
          <w:szCs w:val="21"/>
        </w:rPr>
        <w:t>15 mL</w:t>
      </w:r>
      <w:r w:rsidRPr="00EE3DDB">
        <w:rPr>
          <w:szCs w:val="21"/>
        </w:rPr>
        <w:t>具塞离心管中，加</w:t>
      </w:r>
      <w:r w:rsidRPr="00EE3DDB">
        <w:rPr>
          <w:szCs w:val="21"/>
        </w:rPr>
        <w:t>2</w:t>
      </w:r>
      <w:r w:rsidRPr="004D78C2">
        <w:rPr>
          <w:rFonts w:ascii="仿宋_GB2312" w:eastAsia="仿宋_GB2312" w:hint="eastAsia"/>
          <w:szCs w:val="21"/>
        </w:rPr>
        <w:t>—</w:t>
      </w:r>
      <w:r w:rsidRPr="00EE3DDB">
        <w:rPr>
          <w:szCs w:val="21"/>
        </w:rPr>
        <w:t>3 mL</w:t>
      </w:r>
      <w:r w:rsidRPr="00EE3DDB">
        <w:rPr>
          <w:szCs w:val="21"/>
        </w:rPr>
        <w:t>水，大力振摇至均匀（必要时置约</w:t>
      </w:r>
      <w:r w:rsidRPr="00EE3DDB">
        <w:rPr>
          <w:szCs w:val="21"/>
        </w:rPr>
        <w:t>70</w:t>
      </w:r>
      <w:r w:rsidRPr="00EE3DDB">
        <w:rPr>
          <w:rFonts w:ascii="宋体" w:hAnsi="宋体" w:cs="宋体" w:hint="eastAsia"/>
          <w:szCs w:val="21"/>
        </w:rPr>
        <w:t>℃</w:t>
      </w:r>
      <w:r w:rsidRPr="00EE3DDB">
        <w:rPr>
          <w:szCs w:val="21"/>
        </w:rPr>
        <w:t>水浴加热），静置</w:t>
      </w:r>
      <w:r w:rsidRPr="00EE3DDB">
        <w:rPr>
          <w:szCs w:val="21"/>
        </w:rPr>
        <w:t>5</w:t>
      </w:r>
      <w:r w:rsidRPr="004D78C2">
        <w:rPr>
          <w:rFonts w:ascii="仿宋_GB2312" w:eastAsia="仿宋_GB2312" w:hint="eastAsia"/>
          <w:szCs w:val="21"/>
        </w:rPr>
        <w:t>—</w:t>
      </w:r>
      <w:r w:rsidRPr="00EE3DDB">
        <w:rPr>
          <w:szCs w:val="21"/>
        </w:rPr>
        <w:t>10 min</w:t>
      </w:r>
      <w:r w:rsidRPr="00EE3DDB">
        <w:rPr>
          <w:szCs w:val="21"/>
        </w:rPr>
        <w:t>，吸取水层（尽量避免吸取油脂层或沉淀）测定。层析展不开时，用</w:t>
      </w:r>
      <w:r w:rsidRPr="00EE3DDB">
        <w:rPr>
          <w:szCs w:val="21"/>
        </w:rPr>
        <w:t>0.45 µm</w:t>
      </w:r>
      <w:r w:rsidRPr="00EE3DDB">
        <w:rPr>
          <w:szCs w:val="21"/>
        </w:rPr>
        <w:t>微孔滤膜过滤后测定。</w:t>
      </w:r>
    </w:p>
    <w:p w:rsidR="00810776" w:rsidRPr="00EE3DDB" w:rsidRDefault="00810776" w:rsidP="00810776">
      <w:pPr>
        <w:rPr>
          <w:szCs w:val="21"/>
        </w:rPr>
      </w:pPr>
      <w:r w:rsidRPr="00EE3DDB">
        <w:t>5.2.3</w:t>
      </w:r>
      <w:r w:rsidRPr="00EE3DDB">
        <w:t>固体食品及食用醋：</w:t>
      </w:r>
      <w:r w:rsidRPr="00EE3DDB">
        <w:rPr>
          <w:szCs w:val="21"/>
        </w:rPr>
        <w:t>准确称取试样</w:t>
      </w:r>
      <w:r w:rsidRPr="00EE3DDB">
        <w:rPr>
          <w:szCs w:val="21"/>
        </w:rPr>
        <w:t xml:space="preserve"> 1 g±0.1 g</w:t>
      </w:r>
      <w:r w:rsidRPr="00EE3DDB">
        <w:rPr>
          <w:szCs w:val="21"/>
        </w:rPr>
        <w:t>于</w:t>
      </w:r>
      <w:r w:rsidRPr="00EE3DDB">
        <w:rPr>
          <w:szCs w:val="21"/>
        </w:rPr>
        <w:t>15 mL</w:t>
      </w:r>
      <w:r w:rsidRPr="00EE3DDB">
        <w:rPr>
          <w:szCs w:val="21"/>
        </w:rPr>
        <w:t>具塞离心管中，加</w:t>
      </w:r>
      <w:r w:rsidRPr="00EE3DDB">
        <w:rPr>
          <w:szCs w:val="21"/>
        </w:rPr>
        <w:t>8</w:t>
      </w:r>
      <w:r w:rsidRPr="004D78C2">
        <w:rPr>
          <w:rFonts w:ascii="仿宋_GB2312" w:eastAsia="仿宋_GB2312" w:hint="eastAsia"/>
          <w:szCs w:val="21"/>
        </w:rPr>
        <w:t>—</w:t>
      </w:r>
      <w:r w:rsidRPr="00EE3DDB">
        <w:rPr>
          <w:szCs w:val="21"/>
        </w:rPr>
        <w:t>10 mL</w:t>
      </w:r>
      <w:r w:rsidRPr="00EE3DDB">
        <w:rPr>
          <w:szCs w:val="21"/>
        </w:rPr>
        <w:t>水，大力振摇</w:t>
      </w:r>
      <w:r w:rsidRPr="00EE3DDB">
        <w:rPr>
          <w:szCs w:val="21"/>
        </w:rPr>
        <w:t>1</w:t>
      </w:r>
      <w:r w:rsidRPr="004D78C2">
        <w:rPr>
          <w:rFonts w:ascii="仿宋_GB2312" w:eastAsia="仿宋_GB2312" w:hint="eastAsia"/>
          <w:szCs w:val="21"/>
        </w:rPr>
        <w:t>—</w:t>
      </w:r>
      <w:r w:rsidRPr="00EE3DDB">
        <w:rPr>
          <w:szCs w:val="21"/>
        </w:rPr>
        <w:t>2 min</w:t>
      </w:r>
      <w:r w:rsidRPr="00EE3DDB">
        <w:rPr>
          <w:szCs w:val="21"/>
        </w:rPr>
        <w:t>至均匀，静置</w:t>
      </w:r>
      <w:r w:rsidRPr="00EE3DDB">
        <w:rPr>
          <w:szCs w:val="21"/>
        </w:rPr>
        <w:t>5</w:t>
      </w:r>
      <w:r w:rsidRPr="004D78C2">
        <w:rPr>
          <w:rFonts w:ascii="仿宋_GB2312" w:eastAsia="仿宋_GB2312" w:hint="eastAsia"/>
          <w:szCs w:val="21"/>
        </w:rPr>
        <w:t>—</w:t>
      </w:r>
      <w:r w:rsidRPr="00EE3DDB">
        <w:rPr>
          <w:szCs w:val="21"/>
        </w:rPr>
        <w:t>10 min</w:t>
      </w:r>
      <w:r w:rsidRPr="00EE3DDB">
        <w:rPr>
          <w:szCs w:val="21"/>
        </w:rPr>
        <w:t>，吸取水层测定。层析展不开时，用</w:t>
      </w:r>
      <w:r w:rsidRPr="00EE3DDB">
        <w:rPr>
          <w:szCs w:val="21"/>
        </w:rPr>
        <w:t>0.45 µm</w:t>
      </w:r>
      <w:r w:rsidRPr="00EE3DDB">
        <w:rPr>
          <w:szCs w:val="21"/>
        </w:rPr>
        <w:t>微孔滤膜过滤后测定。</w:t>
      </w:r>
    </w:p>
    <w:p w:rsidR="00810776" w:rsidRPr="00EE3DDB" w:rsidRDefault="00810776" w:rsidP="00810776">
      <w:pPr>
        <w:ind w:firstLineChars="200" w:firstLine="420"/>
        <w:rPr>
          <w:szCs w:val="21"/>
        </w:rPr>
      </w:pPr>
      <w:r w:rsidRPr="00EE3DDB">
        <w:rPr>
          <w:szCs w:val="21"/>
        </w:rPr>
        <w:t>注：试样提取和净化（</w:t>
      </w:r>
      <w:r w:rsidRPr="00EE3DDB">
        <w:rPr>
          <w:szCs w:val="21"/>
        </w:rPr>
        <w:t>5.2</w:t>
      </w:r>
      <w:r w:rsidRPr="00EE3DDB">
        <w:rPr>
          <w:szCs w:val="21"/>
        </w:rPr>
        <w:t>）过程可按照试剂盒说明书，不做限定。</w:t>
      </w:r>
    </w:p>
    <w:p w:rsidR="00810776" w:rsidRPr="00EE3DDB" w:rsidRDefault="00810776" w:rsidP="002600DE">
      <w:pPr>
        <w:spacing w:beforeLines="50" w:afterLines="50"/>
        <w:rPr>
          <w:rFonts w:eastAsia="黑体"/>
        </w:rPr>
      </w:pPr>
      <w:r w:rsidRPr="00EE3DDB">
        <w:rPr>
          <w:rFonts w:eastAsia="黑体"/>
        </w:rPr>
        <w:t>5.3</w:t>
      </w:r>
      <w:r w:rsidRPr="00EE3DDB">
        <w:rPr>
          <w:rFonts w:eastAsia="黑体"/>
        </w:rPr>
        <w:t>测定步骤</w:t>
      </w:r>
    </w:p>
    <w:p w:rsidR="00810776" w:rsidRPr="00EE3DDB" w:rsidRDefault="00810776" w:rsidP="00810776">
      <w:pPr>
        <w:ind w:firstLineChars="200" w:firstLine="420"/>
        <w:rPr>
          <w:szCs w:val="21"/>
        </w:rPr>
      </w:pPr>
      <w:r w:rsidRPr="00EE3DDB">
        <w:rPr>
          <w:szCs w:val="21"/>
        </w:rPr>
        <w:t>测试前，将未开封的检测卡恢复至室温。缓慢滴加</w:t>
      </w:r>
      <w:r w:rsidRPr="00EE3DDB">
        <w:rPr>
          <w:szCs w:val="21"/>
        </w:rPr>
        <w:t>3</w:t>
      </w:r>
      <w:r w:rsidRPr="004D78C2">
        <w:rPr>
          <w:rFonts w:ascii="仿宋_GB2312" w:eastAsia="仿宋_GB2312" w:hint="eastAsia"/>
          <w:szCs w:val="21"/>
        </w:rPr>
        <w:t>—</w:t>
      </w:r>
      <w:r w:rsidRPr="00EE3DDB">
        <w:rPr>
          <w:szCs w:val="21"/>
        </w:rPr>
        <w:t>4</w:t>
      </w:r>
      <w:r w:rsidRPr="00EE3DDB">
        <w:rPr>
          <w:szCs w:val="21"/>
        </w:rPr>
        <w:t>滴待测溶液至检测卡加样孔中，静置，</w:t>
      </w:r>
      <w:r w:rsidRPr="00EE3DDB">
        <w:rPr>
          <w:szCs w:val="21"/>
        </w:rPr>
        <w:t>5</w:t>
      </w:r>
      <w:r w:rsidRPr="004D78C2">
        <w:rPr>
          <w:rFonts w:ascii="仿宋_GB2312" w:eastAsia="仿宋_GB2312" w:hint="eastAsia"/>
          <w:szCs w:val="21"/>
        </w:rPr>
        <w:t>—</w:t>
      </w:r>
      <w:r w:rsidRPr="00EE3DDB">
        <w:rPr>
          <w:szCs w:val="21"/>
        </w:rPr>
        <w:t>10 min</w:t>
      </w:r>
      <w:r w:rsidRPr="00EE3DDB">
        <w:rPr>
          <w:szCs w:val="21"/>
        </w:rPr>
        <w:t>内对结果进行判定。</w:t>
      </w:r>
    </w:p>
    <w:p w:rsidR="00810776" w:rsidRPr="00EE3DDB" w:rsidRDefault="00810776" w:rsidP="00810776">
      <w:pPr>
        <w:ind w:firstLineChars="200" w:firstLine="420"/>
        <w:rPr>
          <w:szCs w:val="21"/>
        </w:rPr>
      </w:pPr>
      <w:r w:rsidRPr="00EE3DDB">
        <w:rPr>
          <w:szCs w:val="21"/>
        </w:rPr>
        <w:t>注：测定步骤建议按照试剂盒说明书。</w:t>
      </w:r>
    </w:p>
    <w:p w:rsidR="00810776" w:rsidRPr="00EE3DDB" w:rsidRDefault="00810776" w:rsidP="002600DE">
      <w:pPr>
        <w:spacing w:beforeLines="50" w:afterLines="50"/>
        <w:rPr>
          <w:rFonts w:eastAsia="黑体"/>
        </w:rPr>
      </w:pPr>
      <w:r w:rsidRPr="00EE3DDB">
        <w:rPr>
          <w:rFonts w:eastAsia="黑体"/>
        </w:rPr>
        <w:lastRenderedPageBreak/>
        <w:t>5.4</w:t>
      </w:r>
      <w:r w:rsidRPr="00EE3DDB">
        <w:rPr>
          <w:rFonts w:eastAsia="黑体"/>
        </w:rPr>
        <w:t>质控试验</w:t>
      </w:r>
    </w:p>
    <w:p w:rsidR="00810776" w:rsidRPr="00EE3DDB" w:rsidRDefault="00810776" w:rsidP="00810776">
      <w:pPr>
        <w:ind w:firstLineChars="200" w:firstLine="420"/>
        <w:rPr>
          <w:szCs w:val="21"/>
        </w:rPr>
      </w:pPr>
      <w:r w:rsidRPr="00EE3DDB">
        <w:rPr>
          <w:szCs w:val="21"/>
        </w:rPr>
        <w:t>每批样品应同时进行空白试验和加标质控试验。</w:t>
      </w:r>
    </w:p>
    <w:p w:rsidR="00810776" w:rsidRPr="00EE3DDB" w:rsidRDefault="00810776" w:rsidP="00810776">
      <w:pPr>
        <w:rPr>
          <w:szCs w:val="21"/>
        </w:rPr>
      </w:pPr>
      <w:r w:rsidRPr="00EE3DDB">
        <w:t>5.4.1</w:t>
      </w:r>
      <w:r w:rsidRPr="00EE3DDB">
        <w:t>空白试验：</w:t>
      </w:r>
      <w:r w:rsidRPr="00EE3DDB">
        <w:rPr>
          <w:szCs w:val="21"/>
        </w:rPr>
        <w:t>准确称取空白试样</w:t>
      </w:r>
      <w:r w:rsidRPr="00EE3DDB">
        <w:rPr>
          <w:szCs w:val="21"/>
        </w:rPr>
        <w:t>1 g±0.1 g</w:t>
      </w:r>
      <w:r w:rsidRPr="00EE3DDB">
        <w:rPr>
          <w:szCs w:val="21"/>
        </w:rPr>
        <w:t>，按照</w:t>
      </w:r>
      <w:r w:rsidRPr="00EE3DDB">
        <w:rPr>
          <w:szCs w:val="21"/>
        </w:rPr>
        <w:t>5.2</w:t>
      </w:r>
      <w:r w:rsidRPr="00EE3DDB">
        <w:rPr>
          <w:szCs w:val="21"/>
        </w:rPr>
        <w:t>和</w:t>
      </w:r>
      <w:r w:rsidRPr="00EE3DDB">
        <w:rPr>
          <w:szCs w:val="21"/>
        </w:rPr>
        <w:t>5.3</w:t>
      </w:r>
      <w:r w:rsidRPr="00EE3DDB">
        <w:rPr>
          <w:szCs w:val="21"/>
        </w:rPr>
        <w:t>步骤与试样同法操作。</w:t>
      </w:r>
    </w:p>
    <w:p w:rsidR="00810776" w:rsidRPr="00EE3DDB" w:rsidRDefault="00810776" w:rsidP="00810776">
      <w:pPr>
        <w:rPr>
          <w:szCs w:val="21"/>
        </w:rPr>
      </w:pPr>
      <w:r w:rsidRPr="00EE3DDB">
        <w:t>5.4.2</w:t>
      </w:r>
      <w:r w:rsidRPr="00EE3DDB">
        <w:t>加标质控试验：</w:t>
      </w:r>
      <w:r w:rsidRPr="00EE3DDB">
        <w:rPr>
          <w:szCs w:val="21"/>
        </w:rPr>
        <w:t>称取空白试样，分别添加适量标准工作液（</w:t>
      </w:r>
      <w:r w:rsidRPr="00EE3DDB">
        <w:rPr>
          <w:szCs w:val="21"/>
        </w:rPr>
        <w:t>3.3.3</w:t>
      </w:r>
      <w:r w:rsidRPr="00EE3DDB">
        <w:rPr>
          <w:szCs w:val="21"/>
        </w:rPr>
        <w:t>），使液体、半固体试样或酱油试样中吗啡、可待因含量均为</w:t>
      </w:r>
      <w:r w:rsidRPr="00EE3DDB">
        <w:rPr>
          <w:szCs w:val="21"/>
        </w:rPr>
        <w:t>40µg/kg</w:t>
      </w:r>
      <w:r w:rsidRPr="00EE3DDB">
        <w:rPr>
          <w:szCs w:val="21"/>
        </w:rPr>
        <w:t>，使固体或食用醋试样中吗啡、可待因含量均为</w:t>
      </w:r>
      <w:r w:rsidRPr="00EE3DDB">
        <w:rPr>
          <w:szCs w:val="21"/>
        </w:rPr>
        <w:t>100 µg/kg</w:t>
      </w:r>
      <w:r w:rsidRPr="00EE3DDB">
        <w:rPr>
          <w:szCs w:val="21"/>
        </w:rPr>
        <w:t>，按照</w:t>
      </w:r>
      <w:r w:rsidRPr="00EE3DDB">
        <w:rPr>
          <w:szCs w:val="21"/>
        </w:rPr>
        <w:t>5.2</w:t>
      </w:r>
      <w:r w:rsidRPr="00EE3DDB">
        <w:rPr>
          <w:szCs w:val="21"/>
        </w:rPr>
        <w:t>和</w:t>
      </w:r>
      <w:r w:rsidRPr="00EE3DDB">
        <w:rPr>
          <w:szCs w:val="21"/>
        </w:rPr>
        <w:t>5.3</w:t>
      </w:r>
      <w:r w:rsidRPr="00EE3DDB">
        <w:rPr>
          <w:szCs w:val="21"/>
        </w:rPr>
        <w:t>步骤与试样同法操作。</w:t>
      </w:r>
    </w:p>
    <w:p w:rsidR="00810776" w:rsidRPr="00EE3DDB" w:rsidRDefault="00810776" w:rsidP="00810776">
      <w:pPr>
        <w:ind w:firstLineChars="200" w:firstLine="420"/>
        <w:rPr>
          <w:szCs w:val="21"/>
        </w:rPr>
      </w:pPr>
      <w:r w:rsidRPr="00EE3DDB">
        <w:rPr>
          <w:szCs w:val="21"/>
        </w:rPr>
        <w:t>注：根据每次试验时的基质类型做相应的基质加标质控试验。</w:t>
      </w:r>
    </w:p>
    <w:p w:rsidR="00810776" w:rsidRPr="00EE3DDB" w:rsidRDefault="00810776" w:rsidP="002600DE">
      <w:pPr>
        <w:spacing w:beforeLines="50" w:afterLines="50"/>
        <w:rPr>
          <w:rFonts w:eastAsia="黑体"/>
        </w:rPr>
      </w:pPr>
      <w:r w:rsidRPr="00EE3DDB">
        <w:rPr>
          <w:rFonts w:eastAsia="黑体"/>
        </w:rPr>
        <w:t>6</w:t>
      </w:r>
      <w:r w:rsidRPr="00EE3DDB">
        <w:rPr>
          <w:rFonts w:eastAsia="黑体"/>
        </w:rPr>
        <w:t>结果判定要求</w:t>
      </w:r>
    </w:p>
    <w:p w:rsidR="00810776" w:rsidRPr="00EE3DDB" w:rsidRDefault="00810776" w:rsidP="00810776">
      <w:pPr>
        <w:ind w:firstLineChars="200" w:firstLine="420"/>
        <w:rPr>
          <w:szCs w:val="21"/>
        </w:rPr>
      </w:pPr>
      <w:r w:rsidRPr="00EE3DDB">
        <w:rPr>
          <w:szCs w:val="21"/>
        </w:rPr>
        <w:t>采用目视法对结果进行判定，示意图如图</w:t>
      </w:r>
      <w:r w:rsidRPr="00EE3DDB">
        <w:rPr>
          <w:szCs w:val="21"/>
        </w:rPr>
        <w:t>1</w:t>
      </w:r>
      <w:r w:rsidRPr="00EE3DDB">
        <w:rPr>
          <w:szCs w:val="21"/>
        </w:rPr>
        <w:t>和图</w:t>
      </w:r>
      <w:r w:rsidRPr="00EE3DDB">
        <w:rPr>
          <w:szCs w:val="21"/>
        </w:rPr>
        <w:t>2</w:t>
      </w:r>
      <w:r w:rsidRPr="00EE3DDB">
        <w:rPr>
          <w:szCs w:val="21"/>
        </w:rPr>
        <w:t>所示。结果判定也可使用胶体金读数仪，具体操作与判定原则参照读数仪使用说明书。结果判定建议按照试剂盒说明书。</w:t>
      </w:r>
    </w:p>
    <w:p w:rsidR="00810776" w:rsidRPr="00EE3DDB" w:rsidRDefault="00810776" w:rsidP="002600DE">
      <w:pPr>
        <w:spacing w:beforeLines="50" w:afterLines="50"/>
        <w:rPr>
          <w:rFonts w:eastAsia="黑体"/>
        </w:rPr>
      </w:pPr>
      <w:r w:rsidRPr="00EE3DDB">
        <w:rPr>
          <w:rFonts w:eastAsia="黑体"/>
        </w:rPr>
        <w:t>6.1</w:t>
      </w:r>
      <w:r w:rsidRPr="00EE3DDB">
        <w:rPr>
          <w:rFonts w:eastAsia="黑体"/>
        </w:rPr>
        <w:t>比色法</w:t>
      </w:r>
    </w:p>
    <w:p w:rsidR="00810776" w:rsidRPr="00EE3DDB" w:rsidRDefault="00810776" w:rsidP="00810776">
      <w:r w:rsidRPr="00EE3DDB">
        <w:t>6.1.1</w:t>
      </w:r>
      <w:r w:rsidRPr="00EE3DDB">
        <w:t>无效</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线）不显色，无论检测线（</w:t>
      </w:r>
      <w:r w:rsidRPr="00EE3DDB">
        <w:rPr>
          <w:szCs w:val="21"/>
        </w:rPr>
        <w:t>T</w:t>
      </w:r>
      <w:r w:rsidRPr="00EE3DDB">
        <w:rPr>
          <w:szCs w:val="21"/>
        </w:rPr>
        <w:t>线）是否显色，表示操作不正确或检测卡已失效。</w:t>
      </w:r>
    </w:p>
    <w:p w:rsidR="00810776" w:rsidRPr="00EE3DDB" w:rsidRDefault="00810776" w:rsidP="00810776">
      <w:r w:rsidRPr="00EE3DDB">
        <w:t>6.1.2</w:t>
      </w:r>
      <w:r w:rsidRPr="00EE3DDB">
        <w:t>阴性结果</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线）显色，检测线（</w:t>
      </w:r>
      <w:r w:rsidRPr="00EE3DDB">
        <w:rPr>
          <w:szCs w:val="21"/>
        </w:rPr>
        <w:t>T</w:t>
      </w:r>
      <w:r w:rsidRPr="00EE3DDB">
        <w:rPr>
          <w:szCs w:val="21"/>
        </w:rPr>
        <w:t>线）颜色比控制线（</w:t>
      </w:r>
      <w:r w:rsidRPr="00EE3DDB">
        <w:rPr>
          <w:szCs w:val="21"/>
        </w:rPr>
        <w:t>C</w:t>
      </w:r>
      <w:r w:rsidRPr="00EE3DDB">
        <w:rPr>
          <w:szCs w:val="21"/>
        </w:rPr>
        <w:t>线）颜色深或检测线（</w:t>
      </w:r>
      <w:r w:rsidRPr="00EE3DDB">
        <w:rPr>
          <w:szCs w:val="21"/>
        </w:rPr>
        <w:t>T</w:t>
      </w:r>
      <w:r w:rsidRPr="00EE3DDB">
        <w:rPr>
          <w:szCs w:val="21"/>
        </w:rPr>
        <w:t>线）颜色与控制线（</w:t>
      </w:r>
      <w:r w:rsidRPr="00EE3DDB">
        <w:rPr>
          <w:szCs w:val="21"/>
        </w:rPr>
        <w:t>C</w:t>
      </w:r>
      <w:r w:rsidRPr="00EE3DDB">
        <w:rPr>
          <w:szCs w:val="21"/>
        </w:rPr>
        <w:t>线）颜色相当，均表示样品中不含吗啡、可待因或含量低于方法检测限，判为阴性。</w:t>
      </w:r>
    </w:p>
    <w:p w:rsidR="00810776" w:rsidRPr="00EE3DDB" w:rsidRDefault="00810776" w:rsidP="00810776">
      <w:r w:rsidRPr="00EE3DDB">
        <w:t>6.1.3</w:t>
      </w:r>
      <w:r w:rsidRPr="00EE3DDB">
        <w:t>阳性结果</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线）显色，检测线（</w:t>
      </w:r>
      <w:r w:rsidRPr="00EE3DDB">
        <w:rPr>
          <w:szCs w:val="21"/>
        </w:rPr>
        <w:t>T</w:t>
      </w:r>
      <w:r w:rsidRPr="00EE3DDB">
        <w:rPr>
          <w:szCs w:val="21"/>
        </w:rPr>
        <w:t>线）颜色比控制线（</w:t>
      </w:r>
      <w:r w:rsidRPr="00EE3DDB">
        <w:rPr>
          <w:szCs w:val="21"/>
        </w:rPr>
        <w:t>C</w:t>
      </w:r>
      <w:r w:rsidRPr="00EE3DDB">
        <w:rPr>
          <w:szCs w:val="21"/>
        </w:rPr>
        <w:t>线）颜色明显浅或检测线（</w:t>
      </w:r>
      <w:r w:rsidRPr="00EE3DDB">
        <w:rPr>
          <w:szCs w:val="21"/>
        </w:rPr>
        <w:t>T</w:t>
      </w:r>
      <w:r w:rsidRPr="00EE3DDB">
        <w:rPr>
          <w:szCs w:val="21"/>
        </w:rPr>
        <w:t>线）不显色，均表示样品中吗啡、可待因含量高于方法检测限，判为阳性。</w:t>
      </w:r>
    </w:p>
    <w:p w:rsidR="00810776" w:rsidRPr="00EE3DDB" w:rsidRDefault="00810776" w:rsidP="00810776">
      <w:pPr>
        <w:snapToGrid w:val="0"/>
        <w:spacing w:line="360" w:lineRule="auto"/>
        <w:jc w:val="center"/>
        <w:rPr>
          <w:szCs w:val="21"/>
        </w:rPr>
      </w:pPr>
      <w:r>
        <w:rPr>
          <w:noProof/>
        </w:rPr>
        <w:drawing>
          <wp:inline distT="0" distB="0" distL="0" distR="0">
            <wp:extent cx="3124200" cy="2162175"/>
            <wp:effectExtent l="0" t="0" r="0" b="9525"/>
            <wp:docPr id="2" name="图片 2" descr="比色法示意图-红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比色法示意图-红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2162175"/>
                    </a:xfrm>
                    <a:prstGeom prst="rect">
                      <a:avLst/>
                    </a:prstGeom>
                    <a:noFill/>
                    <a:ln>
                      <a:noFill/>
                    </a:ln>
                  </pic:spPr>
                </pic:pic>
              </a:graphicData>
            </a:graphic>
          </wp:inline>
        </w:drawing>
      </w:r>
    </w:p>
    <w:p w:rsidR="00810776" w:rsidRPr="00EE3DDB" w:rsidRDefault="00810776" w:rsidP="00810776">
      <w:pPr>
        <w:ind w:firstLineChars="202" w:firstLine="424"/>
        <w:jc w:val="center"/>
        <w:rPr>
          <w:szCs w:val="21"/>
        </w:rPr>
      </w:pPr>
      <w:r w:rsidRPr="00EE3DDB">
        <w:rPr>
          <w:szCs w:val="21"/>
        </w:rPr>
        <w:t>图</w:t>
      </w:r>
      <w:r w:rsidRPr="00EE3DDB">
        <w:rPr>
          <w:szCs w:val="21"/>
        </w:rPr>
        <w:t xml:space="preserve">1 </w:t>
      </w:r>
      <w:r w:rsidRPr="00EE3DDB">
        <w:rPr>
          <w:szCs w:val="21"/>
        </w:rPr>
        <w:t>目视判定示意图（比色法）</w:t>
      </w:r>
    </w:p>
    <w:p w:rsidR="00810776" w:rsidRPr="00EE3DDB" w:rsidRDefault="00810776" w:rsidP="002600DE">
      <w:pPr>
        <w:spacing w:beforeLines="50" w:afterLines="50"/>
        <w:rPr>
          <w:rFonts w:eastAsia="黑体"/>
        </w:rPr>
      </w:pPr>
      <w:r w:rsidRPr="00EE3DDB">
        <w:rPr>
          <w:rFonts w:eastAsia="黑体"/>
        </w:rPr>
        <w:t>6.2</w:t>
      </w:r>
      <w:r w:rsidRPr="00EE3DDB">
        <w:rPr>
          <w:rFonts w:eastAsia="黑体"/>
        </w:rPr>
        <w:t>消线法</w:t>
      </w:r>
    </w:p>
    <w:p w:rsidR="00810776" w:rsidRPr="00EE3DDB" w:rsidRDefault="00810776" w:rsidP="00810776">
      <w:r w:rsidRPr="00EE3DDB">
        <w:t>6.2.1</w:t>
      </w:r>
      <w:r w:rsidRPr="00EE3DDB">
        <w:t>无效</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线）不显色，无论检测线（</w:t>
      </w:r>
      <w:r w:rsidRPr="00EE3DDB">
        <w:rPr>
          <w:szCs w:val="21"/>
        </w:rPr>
        <w:t>T</w:t>
      </w:r>
      <w:r w:rsidRPr="00EE3DDB">
        <w:rPr>
          <w:szCs w:val="21"/>
        </w:rPr>
        <w:t>线）是否显色，表示操作不正确或检测卡无效。</w:t>
      </w:r>
    </w:p>
    <w:p w:rsidR="00810776" w:rsidRPr="00EE3DDB" w:rsidRDefault="00810776" w:rsidP="00810776">
      <w:r w:rsidRPr="00EE3DDB">
        <w:t>6.2.2</w:t>
      </w:r>
      <w:r w:rsidRPr="00EE3DDB">
        <w:t>阴性结果</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线）显色，检测线（</w:t>
      </w:r>
      <w:r w:rsidRPr="00EE3DDB">
        <w:rPr>
          <w:szCs w:val="21"/>
        </w:rPr>
        <w:t>T</w:t>
      </w:r>
      <w:r w:rsidRPr="00EE3DDB">
        <w:rPr>
          <w:szCs w:val="21"/>
        </w:rPr>
        <w:t>线）颜色比控制线（</w:t>
      </w:r>
      <w:r w:rsidRPr="00EE3DDB">
        <w:rPr>
          <w:szCs w:val="21"/>
        </w:rPr>
        <w:t>C</w:t>
      </w:r>
      <w:r w:rsidRPr="00EE3DDB">
        <w:rPr>
          <w:szCs w:val="21"/>
        </w:rPr>
        <w:t>线）颜色深、检测线（</w:t>
      </w:r>
      <w:r w:rsidRPr="00EE3DDB">
        <w:rPr>
          <w:szCs w:val="21"/>
        </w:rPr>
        <w:t>T</w:t>
      </w:r>
      <w:r w:rsidRPr="00EE3DDB">
        <w:rPr>
          <w:szCs w:val="21"/>
        </w:rPr>
        <w:t>线）颜色与控制线（</w:t>
      </w:r>
      <w:r w:rsidRPr="00EE3DDB">
        <w:rPr>
          <w:szCs w:val="21"/>
        </w:rPr>
        <w:t>C</w:t>
      </w:r>
      <w:r w:rsidRPr="00EE3DDB">
        <w:rPr>
          <w:szCs w:val="21"/>
        </w:rPr>
        <w:t>线）颜色相当或检测线（</w:t>
      </w:r>
      <w:r w:rsidRPr="00EE3DDB">
        <w:rPr>
          <w:szCs w:val="21"/>
        </w:rPr>
        <w:t>T</w:t>
      </w:r>
      <w:r w:rsidRPr="00EE3DDB">
        <w:rPr>
          <w:szCs w:val="21"/>
        </w:rPr>
        <w:t>线）颜色比控制线（</w:t>
      </w:r>
      <w:r w:rsidRPr="00EE3DDB">
        <w:rPr>
          <w:szCs w:val="21"/>
        </w:rPr>
        <w:t>C</w:t>
      </w:r>
      <w:r w:rsidRPr="00EE3DDB">
        <w:rPr>
          <w:szCs w:val="21"/>
        </w:rPr>
        <w:t>线）颜色浅，均</w:t>
      </w:r>
      <w:r w:rsidRPr="00EE3DDB">
        <w:rPr>
          <w:kern w:val="0"/>
          <w:szCs w:val="21"/>
        </w:rPr>
        <w:t>表示样品中不含吗啡、可待因</w:t>
      </w:r>
      <w:r w:rsidRPr="00EE3DDB">
        <w:rPr>
          <w:szCs w:val="21"/>
        </w:rPr>
        <w:t>或含量低于方法检测限，判为阴性。</w:t>
      </w:r>
    </w:p>
    <w:p w:rsidR="00810776" w:rsidRPr="00EE3DDB" w:rsidRDefault="00810776" w:rsidP="00810776">
      <w:r w:rsidRPr="00EE3DDB">
        <w:lastRenderedPageBreak/>
        <w:t>6.2.3</w:t>
      </w:r>
      <w:r w:rsidRPr="00EE3DDB">
        <w:t>阳性结果</w:t>
      </w:r>
    </w:p>
    <w:p w:rsidR="00810776" w:rsidRPr="00EE3DDB" w:rsidRDefault="00810776" w:rsidP="00810776">
      <w:pPr>
        <w:ind w:firstLineChars="200" w:firstLine="420"/>
        <w:rPr>
          <w:szCs w:val="21"/>
        </w:rPr>
      </w:pPr>
      <w:r w:rsidRPr="00EE3DDB">
        <w:rPr>
          <w:szCs w:val="21"/>
        </w:rPr>
        <w:t>控制线（</w:t>
      </w:r>
      <w:r w:rsidRPr="00EE3DDB">
        <w:rPr>
          <w:szCs w:val="21"/>
        </w:rPr>
        <w:t>C</w:t>
      </w:r>
      <w:r w:rsidRPr="00EE3DDB">
        <w:rPr>
          <w:szCs w:val="21"/>
        </w:rPr>
        <w:t>线）显色，检测线（</w:t>
      </w:r>
      <w:r w:rsidRPr="00EE3DDB">
        <w:rPr>
          <w:szCs w:val="21"/>
        </w:rPr>
        <w:t>T</w:t>
      </w:r>
      <w:r w:rsidRPr="00EE3DDB">
        <w:rPr>
          <w:szCs w:val="21"/>
        </w:rPr>
        <w:t>线）不显色，表示样品中吗啡、可待因含量高于方法检测限，判为阳性。</w:t>
      </w:r>
    </w:p>
    <w:p w:rsidR="00810776" w:rsidRPr="00EE3DDB" w:rsidRDefault="00810776" w:rsidP="00810776">
      <w:pPr>
        <w:spacing w:line="288" w:lineRule="auto"/>
        <w:jc w:val="center"/>
        <w:rPr>
          <w:szCs w:val="21"/>
        </w:rPr>
      </w:pPr>
      <w:r>
        <w:rPr>
          <w:noProof/>
          <w:szCs w:val="21"/>
        </w:rPr>
        <w:drawing>
          <wp:inline distT="0" distB="0" distL="0" distR="0">
            <wp:extent cx="3009900" cy="2105025"/>
            <wp:effectExtent l="0" t="0" r="0" b="9525"/>
            <wp:docPr id="1" name="图片 1" descr="消线法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消线法示意图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900" cy="2105025"/>
                    </a:xfrm>
                    <a:prstGeom prst="rect">
                      <a:avLst/>
                    </a:prstGeom>
                    <a:noFill/>
                    <a:ln>
                      <a:noFill/>
                    </a:ln>
                  </pic:spPr>
                </pic:pic>
              </a:graphicData>
            </a:graphic>
          </wp:inline>
        </w:drawing>
      </w:r>
    </w:p>
    <w:p w:rsidR="00810776" w:rsidRPr="00EE3DDB" w:rsidRDefault="00810776" w:rsidP="00810776">
      <w:pPr>
        <w:ind w:firstLineChars="202" w:firstLine="424"/>
        <w:jc w:val="center"/>
        <w:rPr>
          <w:szCs w:val="21"/>
        </w:rPr>
      </w:pPr>
      <w:r w:rsidRPr="00EE3DDB">
        <w:rPr>
          <w:szCs w:val="21"/>
        </w:rPr>
        <w:t>图</w:t>
      </w:r>
      <w:r w:rsidRPr="00EE3DDB">
        <w:rPr>
          <w:szCs w:val="21"/>
        </w:rPr>
        <w:t xml:space="preserve">2 </w:t>
      </w:r>
      <w:r w:rsidRPr="00EE3DDB">
        <w:rPr>
          <w:szCs w:val="21"/>
        </w:rPr>
        <w:t>目视判定示意图（消线法）</w:t>
      </w:r>
    </w:p>
    <w:p w:rsidR="00810776" w:rsidRPr="00EE3DDB" w:rsidRDefault="00810776" w:rsidP="002600DE">
      <w:pPr>
        <w:spacing w:afterLines="50"/>
        <w:rPr>
          <w:rFonts w:eastAsia="黑体"/>
        </w:rPr>
      </w:pPr>
      <w:r w:rsidRPr="00EE3DDB">
        <w:rPr>
          <w:rFonts w:eastAsia="黑体"/>
        </w:rPr>
        <w:t>6.3</w:t>
      </w:r>
      <w:r w:rsidRPr="00EE3DDB">
        <w:rPr>
          <w:rFonts w:eastAsia="黑体"/>
        </w:rPr>
        <w:t>质控试验要求</w:t>
      </w:r>
    </w:p>
    <w:p w:rsidR="00810776" w:rsidRPr="00EE3DDB" w:rsidRDefault="00810776" w:rsidP="00810776">
      <w:pPr>
        <w:ind w:firstLineChars="200" w:firstLine="420"/>
        <w:rPr>
          <w:szCs w:val="21"/>
        </w:rPr>
      </w:pPr>
      <w:r w:rsidRPr="00EE3DDB">
        <w:rPr>
          <w:szCs w:val="21"/>
        </w:rPr>
        <w:t>空白试验测定结果应为阴性，加标质控试验测定结果应为阳性。</w:t>
      </w:r>
    </w:p>
    <w:p w:rsidR="00810776" w:rsidRPr="00EE3DDB" w:rsidRDefault="00810776" w:rsidP="002600DE">
      <w:pPr>
        <w:spacing w:beforeLines="50" w:afterLines="50" w:line="300" w:lineRule="exact"/>
        <w:rPr>
          <w:rFonts w:eastAsia="黑体"/>
        </w:rPr>
      </w:pPr>
      <w:r w:rsidRPr="00EE3DDB">
        <w:rPr>
          <w:rFonts w:eastAsia="黑体"/>
        </w:rPr>
        <w:t>7</w:t>
      </w:r>
      <w:r w:rsidRPr="00EE3DDB">
        <w:rPr>
          <w:rFonts w:eastAsia="黑体"/>
        </w:rPr>
        <w:t>结论</w:t>
      </w:r>
    </w:p>
    <w:p w:rsidR="00810776" w:rsidRPr="00EE3DDB" w:rsidRDefault="00810776" w:rsidP="00810776">
      <w:pPr>
        <w:spacing w:line="280" w:lineRule="exact"/>
        <w:ind w:firstLineChars="200" w:firstLine="420"/>
        <w:rPr>
          <w:szCs w:val="21"/>
        </w:rPr>
      </w:pPr>
      <w:r w:rsidRPr="00EE3DDB">
        <w:rPr>
          <w:szCs w:val="21"/>
        </w:rPr>
        <w:t>当检测结果为阳性时，应对结果进行确证。</w:t>
      </w:r>
    </w:p>
    <w:p w:rsidR="00810776" w:rsidRPr="00EE3DDB" w:rsidRDefault="00810776" w:rsidP="002600DE">
      <w:pPr>
        <w:spacing w:beforeLines="50" w:afterLines="50" w:line="280" w:lineRule="exact"/>
        <w:rPr>
          <w:rFonts w:eastAsia="黑体"/>
        </w:rPr>
      </w:pPr>
      <w:r w:rsidRPr="00EE3DDB">
        <w:rPr>
          <w:rFonts w:eastAsia="黑体"/>
        </w:rPr>
        <w:t>8</w:t>
      </w:r>
      <w:r w:rsidRPr="00EE3DDB">
        <w:rPr>
          <w:rFonts w:eastAsia="黑体"/>
        </w:rPr>
        <w:t>性能指标</w:t>
      </w:r>
    </w:p>
    <w:p w:rsidR="00810776" w:rsidRPr="00EE3DDB" w:rsidRDefault="00810776" w:rsidP="000D64CB">
      <w:pPr>
        <w:pStyle w:val="a"/>
        <w:numPr>
          <w:ilvl w:val="0"/>
          <w:numId w:val="0"/>
        </w:numPr>
        <w:spacing w:before="156" w:after="156" w:line="280" w:lineRule="exact"/>
        <w:jc w:val="both"/>
        <w:rPr>
          <w:rFonts w:ascii="Times New Roman" w:eastAsia="宋体"/>
          <w:kern w:val="2"/>
        </w:rPr>
      </w:pPr>
      <w:r w:rsidRPr="00EE3DDB">
        <w:rPr>
          <w:rFonts w:ascii="Times New Roman"/>
        </w:rPr>
        <w:t>8.1</w:t>
      </w:r>
      <w:r w:rsidRPr="00EE3DDB">
        <w:rPr>
          <w:rFonts w:ascii="Times New Roman"/>
        </w:rPr>
        <w:t>检测限：</w:t>
      </w:r>
      <w:r w:rsidRPr="00EE3DDB">
        <w:rPr>
          <w:rFonts w:ascii="Times New Roman" w:eastAsia="宋体"/>
          <w:kern w:val="2"/>
        </w:rPr>
        <w:t>经调味料、火锅底料、麻辣烫底料或其</w:t>
      </w:r>
      <w:r>
        <w:rPr>
          <w:rFonts w:ascii="Times New Roman" w:eastAsia="宋体" w:hint="eastAsia"/>
          <w:kern w:val="2"/>
        </w:rPr>
        <w:t>他</w:t>
      </w:r>
      <w:r w:rsidRPr="00EE3DDB">
        <w:rPr>
          <w:rFonts w:ascii="Times New Roman" w:eastAsia="宋体"/>
          <w:kern w:val="2"/>
        </w:rPr>
        <w:t>食用汤料等勾兑、调配或添加形成的液体食品：吗啡、可待因均为</w:t>
      </w:r>
      <w:r w:rsidRPr="00EE3DDB">
        <w:rPr>
          <w:rFonts w:ascii="Times New Roman" w:eastAsia="宋体"/>
          <w:kern w:val="2"/>
        </w:rPr>
        <w:t>40µg/kg</w:t>
      </w:r>
      <w:r w:rsidRPr="00EE3DDB">
        <w:rPr>
          <w:rFonts w:ascii="Times New Roman" w:eastAsia="宋体"/>
          <w:kern w:val="2"/>
        </w:rPr>
        <w:t>；经调味酱、调味油脂、火锅底料、麻辣烫底料、蘸料或其</w:t>
      </w:r>
      <w:r>
        <w:rPr>
          <w:rFonts w:ascii="Times New Roman" w:eastAsia="宋体" w:hint="eastAsia"/>
          <w:kern w:val="2"/>
        </w:rPr>
        <w:t>他</w:t>
      </w:r>
      <w:r w:rsidRPr="00EE3DDB">
        <w:rPr>
          <w:rFonts w:ascii="Times New Roman" w:eastAsia="宋体"/>
          <w:kern w:val="2"/>
        </w:rPr>
        <w:t>调味料等勾兑、调配或添加形成的半固体食品，酱油：吗啡、可待因均为</w:t>
      </w:r>
      <w:r w:rsidRPr="00EE3DDB">
        <w:rPr>
          <w:rFonts w:ascii="Times New Roman" w:eastAsia="宋体"/>
          <w:kern w:val="2"/>
        </w:rPr>
        <w:t>40 µg/kg</w:t>
      </w:r>
      <w:r w:rsidRPr="00EE3DDB">
        <w:rPr>
          <w:rFonts w:ascii="Times New Roman" w:eastAsia="宋体"/>
          <w:kern w:val="2"/>
        </w:rPr>
        <w:t>；香辛香料、复合调味料等勾兑、调配或添加形成的固体食品，食用醋（含以食用醋为主的调味料）：吗啡、可待因均为</w:t>
      </w:r>
      <w:r w:rsidRPr="00EE3DDB">
        <w:rPr>
          <w:rFonts w:ascii="Times New Roman" w:eastAsia="宋体"/>
          <w:kern w:val="2"/>
        </w:rPr>
        <w:t>100 µg/kg</w:t>
      </w:r>
      <w:r w:rsidRPr="00EE3DDB">
        <w:rPr>
          <w:rFonts w:ascii="Times New Roman" w:eastAsia="宋体"/>
          <w:kern w:val="2"/>
        </w:rPr>
        <w:t>。</w:t>
      </w:r>
    </w:p>
    <w:p w:rsidR="00810776" w:rsidRPr="00EE3DDB" w:rsidRDefault="00810776" w:rsidP="000D64CB">
      <w:pPr>
        <w:pStyle w:val="a"/>
        <w:numPr>
          <w:ilvl w:val="0"/>
          <w:numId w:val="0"/>
        </w:numPr>
        <w:spacing w:before="156" w:after="156" w:line="280" w:lineRule="exact"/>
        <w:rPr>
          <w:rFonts w:ascii="Times New Roman"/>
        </w:rPr>
      </w:pPr>
      <w:r w:rsidRPr="00EE3DDB">
        <w:rPr>
          <w:rFonts w:ascii="Times New Roman"/>
        </w:rPr>
        <w:t>8.2</w:t>
      </w:r>
      <w:r w:rsidRPr="00EE3DDB">
        <w:rPr>
          <w:rFonts w:ascii="Times New Roman"/>
        </w:rPr>
        <w:t>灵敏度：</w:t>
      </w:r>
      <w:r w:rsidRPr="00EE3DDB">
        <w:rPr>
          <w:rFonts w:ascii="Times New Roman" w:eastAsia="宋体"/>
          <w:szCs w:val="20"/>
        </w:rPr>
        <w:t>灵敏度</w:t>
      </w:r>
      <w:r w:rsidRPr="00EE3DDB">
        <w:rPr>
          <w:rFonts w:ascii="Times New Roman" w:eastAsia="宋体"/>
          <w:szCs w:val="20"/>
        </w:rPr>
        <w:t>≥99%</w:t>
      </w:r>
      <w:r w:rsidRPr="00EE3DDB">
        <w:rPr>
          <w:rFonts w:ascii="Times New Roman" w:eastAsia="宋体"/>
          <w:szCs w:val="20"/>
        </w:rPr>
        <w:t>。</w:t>
      </w:r>
    </w:p>
    <w:p w:rsidR="00810776" w:rsidRPr="00EE3DDB" w:rsidRDefault="00810776" w:rsidP="000D64CB">
      <w:pPr>
        <w:pStyle w:val="a"/>
        <w:numPr>
          <w:ilvl w:val="0"/>
          <w:numId w:val="0"/>
        </w:numPr>
        <w:spacing w:before="156" w:after="156" w:line="280" w:lineRule="exact"/>
        <w:rPr>
          <w:rFonts w:ascii="Times New Roman"/>
        </w:rPr>
      </w:pPr>
      <w:r w:rsidRPr="00EE3DDB">
        <w:rPr>
          <w:rFonts w:ascii="Times New Roman"/>
        </w:rPr>
        <w:t>8.3</w:t>
      </w:r>
      <w:r w:rsidRPr="00EE3DDB">
        <w:rPr>
          <w:rFonts w:ascii="Times New Roman"/>
        </w:rPr>
        <w:t>特异性：</w:t>
      </w:r>
      <w:r w:rsidRPr="00EE3DDB">
        <w:rPr>
          <w:rFonts w:ascii="Times New Roman" w:eastAsia="宋体"/>
          <w:szCs w:val="20"/>
        </w:rPr>
        <w:t>特异性</w:t>
      </w:r>
      <w:r w:rsidRPr="00EE3DDB">
        <w:rPr>
          <w:rFonts w:ascii="Times New Roman" w:eastAsia="宋体"/>
          <w:szCs w:val="20"/>
        </w:rPr>
        <w:t>≥95%</w:t>
      </w:r>
      <w:r w:rsidRPr="00EE3DDB">
        <w:rPr>
          <w:rFonts w:ascii="Times New Roman" w:eastAsia="宋体"/>
          <w:szCs w:val="20"/>
        </w:rPr>
        <w:t>。</w:t>
      </w:r>
    </w:p>
    <w:p w:rsidR="00810776" w:rsidRPr="00EE3DDB" w:rsidRDefault="00810776" w:rsidP="000D64CB">
      <w:pPr>
        <w:pStyle w:val="a"/>
        <w:numPr>
          <w:ilvl w:val="0"/>
          <w:numId w:val="0"/>
        </w:numPr>
        <w:spacing w:before="156" w:after="156" w:line="280" w:lineRule="exact"/>
        <w:rPr>
          <w:rFonts w:ascii="Times New Roman"/>
        </w:rPr>
      </w:pPr>
      <w:r w:rsidRPr="00EE3DDB">
        <w:rPr>
          <w:rFonts w:ascii="Times New Roman"/>
        </w:rPr>
        <w:t>8.4</w:t>
      </w:r>
      <w:r w:rsidRPr="00EE3DDB">
        <w:rPr>
          <w:rFonts w:ascii="Times New Roman"/>
        </w:rPr>
        <w:t>假阴性率：</w:t>
      </w:r>
      <w:r w:rsidRPr="00EE3DDB">
        <w:rPr>
          <w:rFonts w:ascii="Times New Roman" w:eastAsia="宋体"/>
          <w:szCs w:val="20"/>
        </w:rPr>
        <w:t>假阴性率</w:t>
      </w:r>
      <w:r w:rsidRPr="00EE3DDB">
        <w:rPr>
          <w:rFonts w:ascii="Times New Roman" w:eastAsia="宋体"/>
          <w:szCs w:val="20"/>
        </w:rPr>
        <w:t>≤1%</w:t>
      </w:r>
      <w:r w:rsidRPr="00EE3DDB">
        <w:rPr>
          <w:rFonts w:ascii="Times New Roman" w:eastAsia="宋体"/>
          <w:szCs w:val="20"/>
        </w:rPr>
        <w:t>。</w:t>
      </w:r>
    </w:p>
    <w:p w:rsidR="00810776" w:rsidRPr="00EE3DDB" w:rsidRDefault="00810776" w:rsidP="000D64CB">
      <w:pPr>
        <w:pStyle w:val="a"/>
        <w:numPr>
          <w:ilvl w:val="0"/>
          <w:numId w:val="0"/>
        </w:numPr>
        <w:spacing w:before="156" w:after="156" w:line="280" w:lineRule="exact"/>
        <w:rPr>
          <w:rFonts w:ascii="Times New Roman" w:eastAsia="宋体"/>
          <w:szCs w:val="20"/>
        </w:rPr>
      </w:pPr>
      <w:r w:rsidRPr="00EE3DDB">
        <w:rPr>
          <w:rFonts w:ascii="Times New Roman"/>
        </w:rPr>
        <w:t>8.5</w:t>
      </w:r>
      <w:r w:rsidRPr="00EE3DDB">
        <w:rPr>
          <w:rFonts w:ascii="Times New Roman"/>
        </w:rPr>
        <w:t>假阳性率：</w:t>
      </w:r>
      <w:r w:rsidRPr="00EE3DDB">
        <w:rPr>
          <w:rFonts w:ascii="Times New Roman" w:eastAsia="宋体"/>
          <w:szCs w:val="20"/>
        </w:rPr>
        <w:t>假阳性率</w:t>
      </w:r>
      <w:r w:rsidRPr="00EE3DDB">
        <w:rPr>
          <w:rFonts w:ascii="Times New Roman" w:eastAsia="宋体"/>
          <w:szCs w:val="20"/>
        </w:rPr>
        <w:t>≤5%</w:t>
      </w:r>
      <w:r w:rsidRPr="00EE3DDB">
        <w:rPr>
          <w:rFonts w:ascii="Times New Roman" w:eastAsia="宋体"/>
          <w:szCs w:val="20"/>
        </w:rPr>
        <w:t>。</w:t>
      </w:r>
    </w:p>
    <w:p w:rsidR="00810776" w:rsidRPr="00EE3DDB" w:rsidRDefault="00810776" w:rsidP="00810776">
      <w:pPr>
        <w:pStyle w:val="a"/>
        <w:numPr>
          <w:ilvl w:val="0"/>
          <w:numId w:val="0"/>
        </w:numPr>
        <w:spacing w:beforeLines="0" w:afterLines="0" w:line="280" w:lineRule="exact"/>
        <w:ind w:firstLineChars="200" w:firstLine="360"/>
        <w:jc w:val="both"/>
        <w:rPr>
          <w:rFonts w:ascii="Times New Roman" w:eastAsia="宋体"/>
          <w:sz w:val="18"/>
          <w:szCs w:val="18"/>
        </w:rPr>
      </w:pPr>
      <w:r w:rsidRPr="00EE3DDB">
        <w:rPr>
          <w:rFonts w:ascii="Times New Roman" w:eastAsia="宋体"/>
          <w:sz w:val="18"/>
          <w:szCs w:val="18"/>
        </w:rPr>
        <w:t>注：性能指标计算方法见附录</w:t>
      </w:r>
      <w:r w:rsidRPr="00EE3DDB">
        <w:rPr>
          <w:rFonts w:ascii="Times New Roman" w:eastAsia="宋体"/>
          <w:sz w:val="18"/>
          <w:szCs w:val="18"/>
        </w:rPr>
        <w:t>A</w:t>
      </w:r>
      <w:r w:rsidRPr="00EE3DDB">
        <w:rPr>
          <w:rFonts w:ascii="Times New Roman" w:eastAsia="宋体"/>
          <w:sz w:val="18"/>
          <w:szCs w:val="18"/>
        </w:rPr>
        <w:t>。</w:t>
      </w:r>
    </w:p>
    <w:p w:rsidR="00810776" w:rsidRPr="00EE3DDB" w:rsidRDefault="00810776" w:rsidP="002600DE">
      <w:pPr>
        <w:spacing w:beforeLines="50" w:afterLines="50" w:line="280" w:lineRule="exact"/>
        <w:rPr>
          <w:rFonts w:eastAsia="黑体"/>
        </w:rPr>
      </w:pPr>
      <w:r w:rsidRPr="00EE3DDB">
        <w:rPr>
          <w:rFonts w:eastAsia="黑体"/>
        </w:rPr>
        <w:t>9</w:t>
      </w:r>
      <w:r w:rsidRPr="00EE3DDB">
        <w:rPr>
          <w:rFonts w:eastAsia="黑体"/>
        </w:rPr>
        <w:t>其他</w:t>
      </w:r>
    </w:p>
    <w:p w:rsidR="00810776" w:rsidRPr="00EE3DDB" w:rsidRDefault="00810776" w:rsidP="00810776">
      <w:pPr>
        <w:spacing w:line="280" w:lineRule="exact"/>
        <w:ind w:firstLineChars="200" w:firstLine="420"/>
        <w:rPr>
          <w:szCs w:val="21"/>
        </w:rPr>
      </w:pPr>
      <w:r w:rsidRPr="00EE3DDB">
        <w:rPr>
          <w:szCs w:val="21"/>
        </w:rPr>
        <w:t>本方法分析步骤和结果判定可以根据厂家试剂盒的说明书进行，但应符合或优于本方法规定的性能指标。</w:t>
      </w:r>
    </w:p>
    <w:p w:rsidR="00810776" w:rsidRPr="00EE3DDB" w:rsidRDefault="00810776" w:rsidP="00810776">
      <w:pPr>
        <w:spacing w:line="280" w:lineRule="exact"/>
        <w:ind w:firstLineChars="200" w:firstLine="420"/>
        <w:rPr>
          <w:szCs w:val="21"/>
        </w:rPr>
      </w:pPr>
      <w:r w:rsidRPr="00EE3DDB">
        <w:rPr>
          <w:szCs w:val="21"/>
        </w:rPr>
        <w:t>本方法所述试剂、试剂盒信息及操作步骤是为给方法使用者提供方便，在使用本方法时不做限定。但方法使用者应使用经过验证的满足本方法规定的各项性能指标的试剂、试剂盒。</w:t>
      </w:r>
    </w:p>
    <w:p w:rsidR="00810776" w:rsidRPr="00EE3DDB" w:rsidRDefault="00810776" w:rsidP="00810776">
      <w:pPr>
        <w:ind w:firstLineChars="200" w:firstLine="420"/>
        <w:rPr>
          <w:szCs w:val="21"/>
        </w:rPr>
      </w:pPr>
      <w:r w:rsidRPr="00EE3DDB">
        <w:rPr>
          <w:szCs w:val="21"/>
        </w:rPr>
        <w:t>本方法参比方法为《火锅食品中罂粟碱、吗啡、那可丁、可待因和蒂巴因的测定液相色谱</w:t>
      </w:r>
      <w:r w:rsidRPr="00EE3DDB">
        <w:rPr>
          <w:szCs w:val="21"/>
        </w:rPr>
        <w:t>-</w:t>
      </w:r>
      <w:r w:rsidRPr="00EE3DDB">
        <w:rPr>
          <w:szCs w:val="21"/>
        </w:rPr>
        <w:t>串联质谱法》（</w:t>
      </w:r>
      <w:r w:rsidRPr="00EE3DDB">
        <w:rPr>
          <w:szCs w:val="21"/>
        </w:rPr>
        <w:t>DB 31/2010</w:t>
      </w:r>
      <w:r>
        <w:rPr>
          <w:rFonts w:hint="eastAsia"/>
          <w:szCs w:val="21"/>
        </w:rPr>
        <w:t>—</w:t>
      </w:r>
      <w:r w:rsidRPr="00EE3DDB">
        <w:rPr>
          <w:szCs w:val="21"/>
        </w:rPr>
        <w:t>2012</w:t>
      </w:r>
      <w:r w:rsidRPr="00EE3DDB">
        <w:rPr>
          <w:szCs w:val="21"/>
        </w:rPr>
        <w:t>）（包括所有的修改单）。</w:t>
      </w:r>
      <w:r w:rsidRPr="00EE3DDB">
        <w:rPr>
          <w:szCs w:val="21"/>
        </w:rPr>
        <w:br w:type="page"/>
      </w:r>
      <w:r w:rsidRPr="004D78C2">
        <w:rPr>
          <w:rFonts w:ascii="黑体" w:eastAsia="黑体" w:hAnsi="黑体"/>
          <w:sz w:val="32"/>
        </w:rPr>
        <w:lastRenderedPageBreak/>
        <w:t>附录A</w:t>
      </w:r>
    </w:p>
    <w:p w:rsidR="00810776" w:rsidRPr="00EE3DDB" w:rsidRDefault="00810776" w:rsidP="00810776">
      <w:pPr>
        <w:jc w:val="center"/>
      </w:pPr>
      <w:r w:rsidRPr="00EE3DDB">
        <w:rPr>
          <w:rFonts w:eastAsia="方正小标宋简体"/>
          <w:sz w:val="44"/>
          <w:szCs w:val="44"/>
        </w:rPr>
        <w:t>快速检测方法性能指标计算表</w:t>
      </w:r>
    </w:p>
    <w:p w:rsidR="00810776" w:rsidRPr="00EE3DDB" w:rsidRDefault="00810776" w:rsidP="00810776">
      <w:pPr>
        <w:jc w:val="center"/>
      </w:pPr>
      <w:r w:rsidRPr="00EE3DDB">
        <w:t>表</w:t>
      </w:r>
      <w:r w:rsidRPr="00EE3DDB">
        <w:t>A.1</w:t>
      </w:r>
      <w:r w:rsidRPr="00EE3DDB">
        <w:t>性能指标计算方法</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1920"/>
        <w:gridCol w:w="1920"/>
        <w:gridCol w:w="2680"/>
      </w:tblGrid>
      <w:tr w:rsidR="00810776" w:rsidRPr="00EE3DDB" w:rsidTr="00AC333A">
        <w:trPr>
          <w:trHeight w:val="320"/>
          <w:jc w:val="center"/>
        </w:trPr>
        <w:tc>
          <w:tcPr>
            <w:tcW w:w="2020" w:type="dxa"/>
            <w:vMerge w:val="restart"/>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样品情况</w:t>
            </w:r>
            <w:r w:rsidRPr="00EE3DDB">
              <w:rPr>
                <w:color w:val="000000"/>
                <w:kern w:val="0"/>
                <w:szCs w:val="21"/>
                <w:vertAlign w:val="superscript"/>
              </w:rPr>
              <w:t>a</w:t>
            </w:r>
          </w:p>
        </w:tc>
        <w:tc>
          <w:tcPr>
            <w:tcW w:w="3840" w:type="dxa"/>
            <w:gridSpan w:val="2"/>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检测结果</w:t>
            </w:r>
            <w:r w:rsidRPr="00EE3DDB">
              <w:rPr>
                <w:color w:val="000000"/>
                <w:kern w:val="0"/>
                <w:szCs w:val="21"/>
                <w:vertAlign w:val="superscript"/>
              </w:rPr>
              <w:t>b</w:t>
            </w:r>
          </w:p>
        </w:tc>
        <w:tc>
          <w:tcPr>
            <w:tcW w:w="2680" w:type="dxa"/>
            <w:vMerge w:val="restart"/>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总数</w:t>
            </w:r>
          </w:p>
        </w:tc>
      </w:tr>
      <w:tr w:rsidR="00810776" w:rsidRPr="00EE3DDB" w:rsidTr="00AC333A">
        <w:trPr>
          <w:trHeight w:val="320"/>
          <w:jc w:val="center"/>
        </w:trPr>
        <w:tc>
          <w:tcPr>
            <w:tcW w:w="2020" w:type="dxa"/>
            <w:vMerge/>
            <w:vAlign w:val="center"/>
          </w:tcPr>
          <w:p w:rsidR="00810776" w:rsidRPr="00EE3DDB" w:rsidRDefault="00810776" w:rsidP="00AC333A">
            <w:pPr>
              <w:widowControl/>
              <w:jc w:val="left"/>
              <w:rPr>
                <w:color w:val="000000"/>
                <w:kern w:val="0"/>
                <w:szCs w:val="21"/>
              </w:rPr>
            </w:pP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阳性</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阴性</w:t>
            </w:r>
          </w:p>
        </w:tc>
        <w:tc>
          <w:tcPr>
            <w:tcW w:w="2680" w:type="dxa"/>
            <w:vMerge/>
            <w:vAlign w:val="center"/>
          </w:tcPr>
          <w:p w:rsidR="00810776" w:rsidRPr="00EE3DDB" w:rsidRDefault="00810776" w:rsidP="00AC333A">
            <w:pPr>
              <w:widowControl/>
              <w:jc w:val="left"/>
              <w:rPr>
                <w:color w:val="000000"/>
                <w:kern w:val="0"/>
                <w:szCs w:val="21"/>
              </w:rPr>
            </w:pP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阳性</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N11</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N12</w:t>
            </w:r>
          </w:p>
        </w:tc>
        <w:tc>
          <w:tcPr>
            <w:tcW w:w="268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N1.=N11+N12</w:t>
            </w:r>
          </w:p>
        </w:tc>
      </w:tr>
      <w:tr w:rsidR="00810776" w:rsidRPr="00EE3DDB" w:rsidTr="00AC333A">
        <w:trPr>
          <w:trHeight w:val="465"/>
          <w:jc w:val="center"/>
        </w:trPr>
        <w:tc>
          <w:tcPr>
            <w:tcW w:w="20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阴性</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N21</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N22</w:t>
            </w:r>
          </w:p>
        </w:tc>
        <w:tc>
          <w:tcPr>
            <w:tcW w:w="268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N2.=N21+N22</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总数</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N.1=N11+N12</w:t>
            </w:r>
          </w:p>
        </w:tc>
        <w:tc>
          <w:tcPr>
            <w:tcW w:w="192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N.2=N21+N22</w:t>
            </w:r>
          </w:p>
        </w:tc>
        <w:tc>
          <w:tcPr>
            <w:tcW w:w="2680" w:type="dxa"/>
            <w:shd w:val="clear" w:color="auto" w:fill="auto"/>
            <w:vAlign w:val="center"/>
          </w:tcPr>
          <w:p w:rsidR="00810776" w:rsidRPr="00EE3DDB" w:rsidRDefault="00810776" w:rsidP="00AC333A">
            <w:pPr>
              <w:widowControl/>
              <w:jc w:val="center"/>
              <w:rPr>
                <w:color w:val="000000"/>
                <w:kern w:val="0"/>
                <w:szCs w:val="21"/>
              </w:rPr>
            </w:pPr>
            <w:r w:rsidRPr="00EE3DDB">
              <w:rPr>
                <w:color w:val="000000"/>
                <w:kern w:val="0"/>
                <w:szCs w:val="21"/>
              </w:rPr>
              <w:t>N=N1.+N2.</w:t>
            </w:r>
            <w:r w:rsidRPr="00EE3DDB">
              <w:rPr>
                <w:color w:val="000000"/>
                <w:kern w:val="0"/>
                <w:szCs w:val="21"/>
              </w:rPr>
              <w:t>或</w:t>
            </w:r>
            <w:r w:rsidRPr="00EE3DDB">
              <w:rPr>
                <w:color w:val="000000"/>
                <w:kern w:val="0"/>
                <w:szCs w:val="21"/>
              </w:rPr>
              <w:t>N.1+N.2</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显著性差异（</w:t>
            </w:r>
            <w:r w:rsidRPr="00EE3DDB">
              <w:rPr>
                <w:szCs w:val="21"/>
              </w:rPr>
              <w:sym w:font="Symbol" w:char="0063"/>
            </w:r>
            <w:r w:rsidRPr="00EE3DDB">
              <w:rPr>
                <w:szCs w:val="21"/>
                <w:vertAlign w:val="superscript"/>
              </w:rPr>
              <w:t>2</w:t>
            </w:r>
            <w:r w:rsidRPr="00EE3DDB">
              <w:rPr>
                <w:szCs w:val="21"/>
              </w:rPr>
              <w:t>）</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sym w:font="Symbol" w:char="0063"/>
            </w:r>
            <w:r w:rsidRPr="00EE3DDB">
              <w:rPr>
                <w:szCs w:val="21"/>
                <w:vertAlign w:val="superscript"/>
              </w:rPr>
              <w:t>2</w:t>
            </w:r>
            <w:r w:rsidRPr="00EE3DDB">
              <w:rPr>
                <w:szCs w:val="21"/>
              </w:rPr>
              <w:t>=</w:t>
            </w:r>
            <w:r w:rsidRPr="00EE3DDB">
              <w:rPr>
                <w:szCs w:val="21"/>
              </w:rPr>
              <w:t>（</w:t>
            </w:r>
            <w:r w:rsidRPr="00EE3DDB">
              <w:rPr>
                <w:szCs w:val="21"/>
              </w:rPr>
              <w:sym w:font="Symbol" w:char="00BD"/>
            </w:r>
            <w:r w:rsidRPr="00EE3DDB">
              <w:rPr>
                <w:szCs w:val="21"/>
              </w:rPr>
              <w:t>N12-N21</w:t>
            </w:r>
            <w:r w:rsidRPr="00EE3DDB">
              <w:rPr>
                <w:szCs w:val="21"/>
              </w:rPr>
              <w:sym w:font="Symbol" w:char="00BD"/>
            </w:r>
            <w:r w:rsidRPr="00EE3DDB">
              <w:rPr>
                <w:szCs w:val="21"/>
              </w:rPr>
              <w:t>-1</w:t>
            </w:r>
            <w:r w:rsidRPr="00EE3DDB">
              <w:rPr>
                <w:szCs w:val="21"/>
              </w:rPr>
              <w:t>）</w:t>
            </w:r>
            <w:r w:rsidRPr="00EE3DDB">
              <w:rPr>
                <w:szCs w:val="21"/>
                <w:vertAlign w:val="superscript"/>
              </w:rPr>
              <w:t>2</w:t>
            </w:r>
            <w:r w:rsidRPr="00EE3DDB">
              <w:rPr>
                <w:szCs w:val="21"/>
              </w:rPr>
              <w:t>/</w:t>
            </w:r>
            <w:r w:rsidRPr="00EE3DDB">
              <w:rPr>
                <w:szCs w:val="21"/>
              </w:rPr>
              <w:t>（</w:t>
            </w:r>
            <w:r w:rsidRPr="00EE3DDB">
              <w:rPr>
                <w:szCs w:val="21"/>
              </w:rPr>
              <w:t>N12+N21</w:t>
            </w:r>
            <w:r w:rsidRPr="00EE3DDB">
              <w:rPr>
                <w:szCs w:val="21"/>
              </w:rPr>
              <w:t>），</w:t>
            </w:r>
          </w:p>
          <w:p w:rsidR="00810776" w:rsidRPr="00EE3DDB" w:rsidRDefault="00810776" w:rsidP="00AC333A">
            <w:pPr>
              <w:spacing w:after="150" w:line="360" w:lineRule="auto"/>
              <w:jc w:val="center"/>
              <w:rPr>
                <w:szCs w:val="21"/>
              </w:rPr>
            </w:pPr>
            <w:r w:rsidRPr="00EE3DDB">
              <w:rPr>
                <w:szCs w:val="21"/>
              </w:rPr>
              <w:t>自由度（</w:t>
            </w:r>
            <w:r w:rsidRPr="00EE3DDB">
              <w:rPr>
                <w:szCs w:val="21"/>
              </w:rPr>
              <w:t>df</w:t>
            </w:r>
            <w:r w:rsidRPr="00EE3DDB">
              <w:rPr>
                <w:szCs w:val="21"/>
              </w:rPr>
              <w:t>）</w:t>
            </w:r>
            <w:r w:rsidRPr="00EE3DDB">
              <w:rPr>
                <w:szCs w:val="21"/>
              </w:rPr>
              <w:t>=1</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灵敏度（</w:t>
            </w:r>
            <w:r w:rsidRPr="00EE3DDB">
              <w:rPr>
                <w:szCs w:val="21"/>
              </w:rPr>
              <w:t>p+</w:t>
            </w:r>
            <w:r w:rsidRPr="00EE3DDB">
              <w:rPr>
                <w:szCs w:val="21"/>
              </w:rPr>
              <w:t>，</w:t>
            </w:r>
            <w:r w:rsidRPr="00EE3DDB">
              <w:rPr>
                <w:szCs w:val="21"/>
              </w:rPr>
              <w:t>%</w:t>
            </w:r>
            <w:r w:rsidRPr="00EE3DDB">
              <w:rPr>
                <w:szCs w:val="21"/>
              </w:rPr>
              <w:t>）</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t>p+=N11/N1.</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特异性（</w:t>
            </w:r>
            <w:r w:rsidRPr="00EE3DDB">
              <w:rPr>
                <w:szCs w:val="21"/>
              </w:rPr>
              <w:t>p-</w:t>
            </w:r>
            <w:r w:rsidRPr="00EE3DDB">
              <w:rPr>
                <w:szCs w:val="21"/>
              </w:rPr>
              <w:t>，</w:t>
            </w:r>
            <w:r w:rsidRPr="00EE3DDB">
              <w:rPr>
                <w:szCs w:val="21"/>
              </w:rPr>
              <w:t>%</w:t>
            </w:r>
            <w:r w:rsidRPr="00EE3DDB">
              <w:rPr>
                <w:szCs w:val="21"/>
              </w:rPr>
              <w:t>）</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t>p-=N22/N2.</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假阴性率（</w:t>
            </w:r>
            <w:r w:rsidRPr="00EE3DDB">
              <w:rPr>
                <w:szCs w:val="21"/>
              </w:rPr>
              <w:t>pf-</w:t>
            </w:r>
            <w:r w:rsidRPr="00EE3DDB">
              <w:rPr>
                <w:szCs w:val="21"/>
              </w:rPr>
              <w:t>，</w:t>
            </w:r>
            <w:r w:rsidRPr="00EE3DDB">
              <w:rPr>
                <w:szCs w:val="21"/>
              </w:rPr>
              <w:t>%</w:t>
            </w:r>
            <w:r w:rsidRPr="00EE3DDB">
              <w:rPr>
                <w:szCs w:val="21"/>
              </w:rPr>
              <w:t>）</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t>pf-=N12/N1.=100-</w:t>
            </w:r>
            <w:r w:rsidRPr="00EE3DDB">
              <w:rPr>
                <w:szCs w:val="21"/>
              </w:rPr>
              <w:t>灵敏度</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假阳性率（</w:t>
            </w:r>
            <w:r w:rsidRPr="00EE3DDB">
              <w:rPr>
                <w:szCs w:val="21"/>
              </w:rPr>
              <w:t>pf+</w:t>
            </w:r>
            <w:r w:rsidRPr="00EE3DDB">
              <w:rPr>
                <w:szCs w:val="21"/>
              </w:rPr>
              <w:t>，</w:t>
            </w:r>
            <w:r w:rsidRPr="00EE3DDB">
              <w:rPr>
                <w:szCs w:val="21"/>
              </w:rPr>
              <w:t>%</w:t>
            </w:r>
            <w:r w:rsidRPr="00EE3DDB">
              <w:rPr>
                <w:szCs w:val="21"/>
              </w:rPr>
              <w:t>）</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t>pf+=N21/N2.=100-</w:t>
            </w:r>
            <w:r w:rsidRPr="00EE3DDB">
              <w:rPr>
                <w:szCs w:val="21"/>
              </w:rPr>
              <w:t>特异性</w:t>
            </w:r>
          </w:p>
        </w:tc>
      </w:tr>
      <w:tr w:rsidR="00810776" w:rsidRPr="00EE3DDB" w:rsidTr="00AC333A">
        <w:trPr>
          <w:trHeight w:val="320"/>
          <w:jc w:val="center"/>
        </w:trPr>
        <w:tc>
          <w:tcPr>
            <w:tcW w:w="2020" w:type="dxa"/>
            <w:shd w:val="clear" w:color="auto" w:fill="auto"/>
            <w:vAlign w:val="center"/>
          </w:tcPr>
          <w:p w:rsidR="00810776" w:rsidRPr="00EE3DDB" w:rsidRDefault="00810776" w:rsidP="00AC333A">
            <w:pPr>
              <w:spacing w:after="150" w:line="360" w:lineRule="auto"/>
              <w:jc w:val="center"/>
              <w:rPr>
                <w:szCs w:val="21"/>
              </w:rPr>
            </w:pPr>
            <w:r w:rsidRPr="00EE3DDB">
              <w:rPr>
                <w:szCs w:val="21"/>
              </w:rPr>
              <w:t>相对准确度，</w:t>
            </w:r>
            <w:r w:rsidRPr="00EE3DDB">
              <w:rPr>
                <w:szCs w:val="21"/>
              </w:rPr>
              <w:t>%</w:t>
            </w:r>
            <w:r w:rsidRPr="00EE3DDB">
              <w:rPr>
                <w:szCs w:val="21"/>
                <w:vertAlign w:val="superscript"/>
              </w:rPr>
              <w:t>c</w:t>
            </w:r>
          </w:p>
        </w:tc>
        <w:tc>
          <w:tcPr>
            <w:tcW w:w="6520" w:type="dxa"/>
            <w:gridSpan w:val="3"/>
            <w:shd w:val="clear" w:color="auto" w:fill="auto"/>
            <w:vAlign w:val="center"/>
          </w:tcPr>
          <w:p w:rsidR="00810776" w:rsidRPr="00EE3DDB" w:rsidRDefault="00810776" w:rsidP="00AC333A">
            <w:pPr>
              <w:spacing w:after="150" w:line="360" w:lineRule="auto"/>
              <w:jc w:val="center"/>
              <w:rPr>
                <w:szCs w:val="21"/>
              </w:rPr>
            </w:pPr>
            <w:r w:rsidRPr="00EE3DDB">
              <w:rPr>
                <w:szCs w:val="21"/>
              </w:rPr>
              <w:t>（</w:t>
            </w:r>
            <w:r w:rsidRPr="00EE3DDB">
              <w:rPr>
                <w:szCs w:val="21"/>
              </w:rPr>
              <w:t>N11+N22</w:t>
            </w:r>
            <w:r w:rsidRPr="00EE3DDB">
              <w:rPr>
                <w:szCs w:val="21"/>
              </w:rPr>
              <w:t>）</w:t>
            </w:r>
            <w:r w:rsidRPr="00EE3DDB">
              <w:rPr>
                <w:szCs w:val="21"/>
              </w:rPr>
              <w:t>/(N1.+N2.)</w:t>
            </w:r>
          </w:p>
        </w:tc>
      </w:tr>
      <w:tr w:rsidR="00810776" w:rsidRPr="00EE3DDB" w:rsidTr="00AC333A">
        <w:trPr>
          <w:trHeight w:val="320"/>
          <w:jc w:val="center"/>
        </w:trPr>
        <w:tc>
          <w:tcPr>
            <w:tcW w:w="8540" w:type="dxa"/>
            <w:gridSpan w:val="4"/>
            <w:shd w:val="clear" w:color="auto" w:fill="auto"/>
            <w:vAlign w:val="center"/>
          </w:tcPr>
          <w:p w:rsidR="00810776" w:rsidRPr="00EE3DDB" w:rsidRDefault="00810776" w:rsidP="00AC333A">
            <w:pPr>
              <w:spacing w:line="300" w:lineRule="exact"/>
              <w:rPr>
                <w:szCs w:val="21"/>
              </w:rPr>
            </w:pPr>
            <w:r w:rsidRPr="00EE3DDB">
              <w:rPr>
                <w:szCs w:val="21"/>
              </w:rPr>
              <w:t>注：</w:t>
            </w:r>
          </w:p>
          <w:p w:rsidR="00810776" w:rsidRPr="00EE3DDB" w:rsidRDefault="00810776" w:rsidP="00AC333A">
            <w:pPr>
              <w:rPr>
                <w:szCs w:val="21"/>
              </w:rPr>
            </w:pPr>
            <w:r w:rsidRPr="00EE3DDB">
              <w:rPr>
                <w:szCs w:val="21"/>
                <w:vertAlign w:val="superscript"/>
              </w:rPr>
              <w:t>a</w:t>
            </w:r>
            <w:r w:rsidRPr="00EE3DDB">
              <w:rPr>
                <w:szCs w:val="21"/>
              </w:rPr>
              <w:t>由参比方法检验得到的结果或者样品中实际的公议值结果；</w:t>
            </w:r>
          </w:p>
          <w:p w:rsidR="00810776" w:rsidRPr="00EE3DDB" w:rsidRDefault="00810776" w:rsidP="00AC333A">
            <w:pPr>
              <w:rPr>
                <w:szCs w:val="21"/>
              </w:rPr>
            </w:pPr>
            <w:r w:rsidRPr="00EE3DDB">
              <w:rPr>
                <w:szCs w:val="21"/>
                <w:vertAlign w:val="superscript"/>
              </w:rPr>
              <w:t>b</w:t>
            </w:r>
            <w:r w:rsidRPr="00EE3DDB">
              <w:rPr>
                <w:szCs w:val="21"/>
              </w:rPr>
              <w:t>由待确认方法检验得到的结果。灵敏度的计算使用确认后的结果。</w:t>
            </w:r>
          </w:p>
          <w:p w:rsidR="00810776" w:rsidRPr="00EE3DDB" w:rsidRDefault="00810776" w:rsidP="00AC333A">
            <w:pPr>
              <w:rPr>
                <w:szCs w:val="21"/>
              </w:rPr>
            </w:pPr>
            <w:r w:rsidRPr="00EE3DDB">
              <w:rPr>
                <w:szCs w:val="21"/>
              </w:rPr>
              <w:t>N</w:t>
            </w:r>
            <w:r w:rsidRPr="00EE3DDB">
              <w:rPr>
                <w:szCs w:val="21"/>
              </w:rPr>
              <w:t>：任何特定单元的结果数，第一个下标指行，第二个下标指列。例如：</w:t>
            </w:r>
            <w:r w:rsidRPr="00EE3DDB">
              <w:rPr>
                <w:szCs w:val="21"/>
              </w:rPr>
              <w:t>N11</w:t>
            </w:r>
            <w:r w:rsidRPr="00EE3DDB">
              <w:rPr>
                <w:szCs w:val="21"/>
              </w:rPr>
              <w:t>表示第一行，第一列，</w:t>
            </w:r>
            <w:r w:rsidRPr="00EE3DDB">
              <w:rPr>
                <w:szCs w:val="21"/>
              </w:rPr>
              <w:t>N1.</w:t>
            </w:r>
            <w:r w:rsidRPr="00EE3DDB">
              <w:rPr>
                <w:szCs w:val="21"/>
              </w:rPr>
              <w:t>表示所有的第一行，</w:t>
            </w:r>
            <w:r w:rsidRPr="00EE3DDB">
              <w:rPr>
                <w:szCs w:val="21"/>
              </w:rPr>
              <w:t>N.2</w:t>
            </w:r>
            <w:r w:rsidRPr="00EE3DDB">
              <w:rPr>
                <w:szCs w:val="21"/>
              </w:rPr>
              <w:t>表示所有的第二列；</w:t>
            </w:r>
            <w:r w:rsidRPr="00EE3DDB">
              <w:rPr>
                <w:szCs w:val="21"/>
              </w:rPr>
              <w:t>N12</w:t>
            </w:r>
            <w:r w:rsidRPr="00EE3DDB">
              <w:rPr>
                <w:szCs w:val="21"/>
              </w:rPr>
              <w:t>表示第一行，第二列。</w:t>
            </w:r>
          </w:p>
          <w:p w:rsidR="00810776" w:rsidRPr="00EE3DDB" w:rsidRDefault="00810776" w:rsidP="00AC333A">
            <w:pPr>
              <w:spacing w:after="150"/>
              <w:rPr>
                <w:szCs w:val="21"/>
              </w:rPr>
            </w:pPr>
            <w:r w:rsidRPr="00EE3DDB">
              <w:rPr>
                <w:szCs w:val="21"/>
                <w:vertAlign w:val="superscript"/>
              </w:rPr>
              <w:t>C</w:t>
            </w:r>
            <w:r w:rsidRPr="00EE3DDB">
              <w:rPr>
                <w:szCs w:val="21"/>
              </w:rPr>
              <w:t>为方法的检测结果相对准确性的结果，与一致性分析和浓度检测趋势情况综合评价。</w:t>
            </w:r>
          </w:p>
        </w:tc>
      </w:tr>
    </w:tbl>
    <w:p w:rsidR="00810776" w:rsidRPr="00EE3DDB" w:rsidRDefault="00810776" w:rsidP="00810776">
      <w:pPr>
        <w:pStyle w:val="a7"/>
        <w:jc w:val="center"/>
        <w:rPr>
          <w:rFonts w:ascii="Times New Roman"/>
        </w:rPr>
      </w:pPr>
    </w:p>
    <w:p w:rsidR="00810776" w:rsidRPr="00EE3DDB" w:rsidRDefault="00810776" w:rsidP="00810776">
      <w:pPr>
        <w:ind w:firstLineChars="200" w:firstLine="420"/>
      </w:pPr>
      <w:r w:rsidRPr="00EE3DDB">
        <w:t>本方法负责起草单位：广东省药品检验所。</w:t>
      </w:r>
    </w:p>
    <w:p w:rsidR="00810776" w:rsidRPr="00EE3DDB" w:rsidRDefault="00810776" w:rsidP="00810776">
      <w:pPr>
        <w:pStyle w:val="a7"/>
        <w:spacing w:line="360" w:lineRule="auto"/>
        <w:rPr>
          <w:rFonts w:ascii="Times New Roman"/>
        </w:rPr>
      </w:pPr>
      <w:r w:rsidRPr="00EE3DDB">
        <w:rPr>
          <w:rFonts w:ascii="Times New Roman"/>
        </w:rPr>
        <w:t>验证单位：山西省食品药品检验所、陕西省食品药品检验所。</w:t>
      </w:r>
    </w:p>
    <w:p w:rsidR="00810776" w:rsidRPr="00EE3DDB" w:rsidRDefault="00810776" w:rsidP="00810776">
      <w:pPr>
        <w:pStyle w:val="a7"/>
        <w:spacing w:line="360" w:lineRule="auto"/>
        <w:rPr>
          <w:rFonts w:ascii="Times New Roman"/>
        </w:rPr>
      </w:pPr>
      <w:r w:rsidRPr="00EE3DDB">
        <w:rPr>
          <w:rFonts w:ascii="Times New Roman"/>
        </w:rPr>
        <w:t>主要起草人：罗卓雅、刘敏敏、刘亚雄、方继辉、赖宇红</w:t>
      </w:r>
    </w:p>
    <w:sectPr w:rsidR="00810776" w:rsidRPr="00EE3DDB" w:rsidSect="004D78C2">
      <w:footerReference w:type="even" r:id="rId9"/>
      <w:footerReference w:type="default" r:id="rId10"/>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94A" w:rsidRDefault="002C294A" w:rsidP="00810776">
      <w:r>
        <w:separator/>
      </w:r>
    </w:p>
  </w:endnote>
  <w:endnote w:type="continuationSeparator" w:id="1">
    <w:p w:rsidR="002C294A" w:rsidRDefault="002C294A" w:rsidP="0081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pPr>
      <w:pStyle w:val="a6"/>
      <w:rPr>
        <w:sz w:val="28"/>
        <w:szCs w:val="28"/>
      </w:rPr>
    </w:pPr>
    <w:r w:rsidRPr="004D78C2">
      <w:rPr>
        <w:rFonts w:hint="eastAsia"/>
        <w:color w:val="FFFFFF"/>
        <w:sz w:val="28"/>
        <w:szCs w:val="28"/>
      </w:rPr>
      <w:t>—</w:t>
    </w:r>
    <w:r w:rsidRPr="004D78C2">
      <w:rPr>
        <w:rFonts w:hint="eastAsia"/>
        <w:sz w:val="28"/>
        <w:szCs w:val="28"/>
      </w:rPr>
      <w:t>—</w:t>
    </w:r>
    <w:r w:rsidR="00A5293E" w:rsidRPr="004D78C2">
      <w:rPr>
        <w:sz w:val="28"/>
        <w:szCs w:val="28"/>
      </w:rPr>
      <w:fldChar w:fldCharType="begin"/>
    </w:r>
    <w:r w:rsidRPr="004D78C2">
      <w:rPr>
        <w:sz w:val="28"/>
        <w:szCs w:val="28"/>
      </w:rPr>
      <w:instrText>PAGE   \* MERGEFORMAT</w:instrText>
    </w:r>
    <w:r w:rsidR="00A5293E" w:rsidRPr="004D78C2">
      <w:rPr>
        <w:sz w:val="28"/>
        <w:szCs w:val="28"/>
      </w:rPr>
      <w:fldChar w:fldCharType="separate"/>
    </w:r>
    <w:r w:rsidRPr="00272BE8">
      <w:rPr>
        <w:noProof/>
        <w:sz w:val="28"/>
        <w:szCs w:val="28"/>
        <w:lang w:val="zh-CN"/>
      </w:rPr>
      <w:t>18</w:t>
    </w:r>
    <w:r w:rsidR="00A5293E" w:rsidRPr="004D78C2">
      <w:rPr>
        <w:sz w:val="28"/>
        <w:szCs w:val="28"/>
      </w:rPr>
      <w:fldChar w:fldCharType="end"/>
    </w:r>
    <w:r w:rsidRPr="004D78C2">
      <w:rPr>
        <w:rFonts w:hint="eastAsia"/>
        <w:sz w:val="28"/>
        <w:szCs w:val="28"/>
      </w:rPr>
      <w:t>—</w:t>
    </w:r>
  </w:p>
  <w:p w:rsidR="009A1829" w:rsidRDefault="002C294A" w:rsidP="004D78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rsidP="004D78C2">
    <w:pPr>
      <w:pStyle w:val="a6"/>
      <w:wordWrap w:val="0"/>
      <w:jc w:val="right"/>
      <w:rPr>
        <w:sz w:val="28"/>
        <w:szCs w:val="28"/>
      </w:rPr>
    </w:pPr>
    <w:r w:rsidRPr="004D78C2">
      <w:rPr>
        <w:rFonts w:hint="eastAsia"/>
        <w:sz w:val="28"/>
        <w:szCs w:val="28"/>
      </w:rPr>
      <w:t>—</w:t>
    </w:r>
    <w:r w:rsidR="00A5293E" w:rsidRPr="004D78C2">
      <w:rPr>
        <w:sz w:val="28"/>
        <w:szCs w:val="28"/>
      </w:rPr>
      <w:fldChar w:fldCharType="begin"/>
    </w:r>
    <w:r w:rsidRPr="004D78C2">
      <w:rPr>
        <w:sz w:val="28"/>
        <w:szCs w:val="28"/>
      </w:rPr>
      <w:instrText>PAGE   \* MERGEFORMAT</w:instrText>
    </w:r>
    <w:r w:rsidR="00A5293E" w:rsidRPr="004D78C2">
      <w:rPr>
        <w:sz w:val="28"/>
        <w:szCs w:val="28"/>
      </w:rPr>
      <w:fldChar w:fldCharType="separate"/>
    </w:r>
    <w:r w:rsidR="002600DE" w:rsidRPr="002600DE">
      <w:rPr>
        <w:noProof/>
        <w:sz w:val="28"/>
        <w:szCs w:val="28"/>
        <w:lang w:val="zh-CN"/>
      </w:rPr>
      <w:t>2</w:t>
    </w:r>
    <w:r w:rsidR="00A5293E" w:rsidRPr="004D78C2">
      <w:rPr>
        <w:sz w:val="28"/>
        <w:szCs w:val="28"/>
      </w:rPr>
      <w:fldChar w:fldCharType="end"/>
    </w:r>
    <w:r w:rsidRPr="004D78C2">
      <w:rPr>
        <w:rFonts w:hint="eastAsia"/>
        <w:sz w:val="28"/>
        <w:szCs w:val="28"/>
      </w:rPr>
      <w:t>—</w:t>
    </w:r>
    <w:r w:rsidRPr="004D78C2">
      <w:rPr>
        <w:rFonts w:hint="eastAsia"/>
        <w:color w:val="FFFFFF"/>
        <w:sz w:val="28"/>
        <w:szCs w:val="28"/>
      </w:rPr>
      <w:t>—</w:t>
    </w:r>
  </w:p>
  <w:p w:rsidR="009A1829" w:rsidRDefault="002C294A" w:rsidP="009A1829">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94A" w:rsidRDefault="002C294A" w:rsidP="00810776">
      <w:r>
        <w:separator/>
      </w:r>
    </w:p>
  </w:footnote>
  <w:footnote w:type="continuationSeparator" w:id="1">
    <w:p w:rsidR="002C294A" w:rsidRDefault="002C294A" w:rsidP="00810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9A3"/>
    <w:multiLevelType w:val="multilevel"/>
    <w:tmpl w:val="64CC6068"/>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1F5832BC"/>
    <w:multiLevelType w:val="hybridMultilevel"/>
    <w:tmpl w:val="1C9CE046"/>
    <w:lvl w:ilvl="0" w:tplc="591DC226">
      <w:start w:val="1"/>
      <w:numFmt w:val="decimal"/>
      <w:lvlText w:val="6.%1"/>
      <w:lvlJc w:val="left"/>
      <w:pPr>
        <w:ind w:left="420" w:hanging="420"/>
      </w:pPr>
      <w:rPr>
        <w:rFonts w:hint="default"/>
      </w:rPr>
    </w:lvl>
    <w:lvl w:ilvl="1" w:tplc="04090019">
      <w:start w:val="1"/>
      <w:numFmt w:val="lowerLetter"/>
      <w:pStyle w:val="a"/>
      <w:lvlText w:val="%2)"/>
      <w:lvlJc w:val="left"/>
      <w:pPr>
        <w:ind w:left="840" w:hanging="420"/>
      </w:pPr>
    </w:lvl>
    <w:lvl w:ilvl="2" w:tplc="CA6ADD02">
      <w:start w:val="1"/>
      <w:numFmt w:val="decimal"/>
      <w:pStyle w:val="a0"/>
      <w:lvlText w:val="3.1.%3"/>
      <w:lvlJc w:val="left"/>
      <w:pPr>
        <w:ind w:left="567" w:firstLine="273"/>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C91163"/>
    <w:multiLevelType w:val="multilevel"/>
    <w:tmpl w:val="336ADC76"/>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31083ABF"/>
    <w:multiLevelType w:val="hybridMultilevel"/>
    <w:tmpl w:val="DD96498C"/>
    <w:lvl w:ilvl="0" w:tplc="F43C4D92">
      <w:start w:val="1"/>
      <w:numFmt w:val="decimal"/>
      <w:lvlText w:val="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EA1F89"/>
    <w:multiLevelType w:val="multilevel"/>
    <w:tmpl w:val="23DAB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91DB3B5"/>
    <w:multiLevelType w:val="singleLevel"/>
    <w:tmpl w:val="82A2E2F6"/>
    <w:lvl w:ilvl="0">
      <w:start w:val="1"/>
      <w:numFmt w:val="decimal"/>
      <w:lvlText w:val="8.%1"/>
      <w:lvlJc w:val="left"/>
      <w:pPr>
        <w:ind w:left="425" w:hanging="425"/>
      </w:pPr>
      <w:rPr>
        <w:rFonts w:ascii="Times New Roman" w:eastAsia="宋体" w:hAnsi="Times New Roman" w:cs="宋体" w:hint="default"/>
      </w:rPr>
    </w:lvl>
  </w:abstractNum>
  <w:abstractNum w:abstractNumId="6">
    <w:nsid w:val="591DC226"/>
    <w:multiLevelType w:val="singleLevel"/>
    <w:tmpl w:val="591DC226"/>
    <w:lvl w:ilvl="0">
      <w:start w:val="1"/>
      <w:numFmt w:val="decimal"/>
      <w:lvlText w:val="6.%1"/>
      <w:lvlJc w:val="left"/>
      <w:pPr>
        <w:ind w:left="425" w:hanging="425"/>
      </w:pPr>
      <w:rPr>
        <w:rFont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654"/>
    <w:rsid w:val="000D64CB"/>
    <w:rsid w:val="002600DE"/>
    <w:rsid w:val="002C294A"/>
    <w:rsid w:val="003466BD"/>
    <w:rsid w:val="006E49D9"/>
    <w:rsid w:val="00810776"/>
    <w:rsid w:val="00827654"/>
    <w:rsid w:val="008C0F74"/>
    <w:rsid w:val="009E7574"/>
    <w:rsid w:val="00A52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afterLines="50"/>
      <w:outlineLvl w:val="2"/>
    </w:pPr>
    <w:rPr>
      <w:rFonts w:ascii="黑体" w:eastAsia="黑体" w:hAnsi="Times New Roman" w:cs="Times New Roman"/>
      <w:kern w:val="0"/>
      <w:szCs w:val="21"/>
    </w:rPr>
  </w:style>
  <w:style w:type="paragraph" w:customStyle="1" w:styleId="a8">
    <w:name w:val="附录章标题"/>
    <w:next w:val="a7"/>
    <w:rsid w:val="00810776"/>
    <w:pPr>
      <w:tabs>
        <w:tab w:val="left" w:pos="360"/>
      </w:tabs>
      <w:wordWrap w:val="0"/>
      <w:overflowPunct w:val="0"/>
      <w:autoSpaceDE w:val="0"/>
      <w:spacing w:beforeLines="100" w:afterLines="100"/>
      <w:ind w:left="840" w:hanging="42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tabs>
        <w:tab w:val="num" w:pos="720"/>
      </w:tabs>
      <w:spacing w:line="14" w:lineRule="exact"/>
      <w:ind w:left="720"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before="156" w:afterLines="50" w:after="156"/>
      <w:outlineLvl w:val="2"/>
    </w:pPr>
    <w:rPr>
      <w:rFonts w:ascii="黑体" w:eastAsia="黑体" w:hAnsi="Times New Roman" w:cs="Times New Roman"/>
      <w:kern w:val="0"/>
      <w:szCs w:val="21"/>
    </w:rPr>
  </w:style>
  <w:style w:type="paragraph" w:customStyle="1" w:styleId="a8">
    <w:name w:val="附录章标题"/>
    <w:next w:val="a7"/>
    <w:rsid w:val="00810776"/>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numPr>
        <w:numId w:val="12"/>
      </w:numPr>
      <w:spacing w:line="14" w:lineRule="exact"/>
      <w:ind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535</Words>
  <Characters>3052</Characters>
  <Application>Microsoft Office Word</Application>
  <DocSecurity>0</DocSecurity>
  <Lines>25</Lines>
  <Paragraphs>7</Paragraphs>
  <ScaleCrop>false</ScaleCrop>
  <Company>CFDA</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2017-08-11T08:00:00Z</dcterms:created>
  <dcterms:modified xsi:type="dcterms:W3CDTF">2017-08-11T08:00:00Z</dcterms:modified>
</cp:coreProperties>
</file>