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ascii="方正小标宋简体" w:hAnsi="方正小标宋简体" w:eastAsia="方正小标宋简体" w:cs="方正小标宋简体"/>
          <w:w w:val="130"/>
          <w:sz w:val="44"/>
          <w:szCs w:val="44"/>
        </w:rPr>
      </w:pPr>
      <w:bookmarkStart w:id="0" w:name="OLE_LINK7"/>
      <w:bookmarkStart w:id="1" w:name="OLE_LINK8"/>
      <w:r>
        <w:rPr>
          <w:rFonts w:ascii="Times New Roman" w:hAnsi="Times New Roman" w:eastAsia="宋体" w:cs="Times New Roma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2740660</wp:posOffset>
            </wp:positionH>
            <wp:positionV relativeFrom="paragraph">
              <wp:posOffset>59690</wp:posOffset>
            </wp:positionV>
            <wp:extent cx="2511425" cy="594995"/>
            <wp:effectExtent l="0" t="0" r="3175" b="14605"/>
            <wp:wrapNone/>
            <wp:docPr id="3" name="图片 8" descr="87630_201310221509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87630_20131022150948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11425" cy="594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distribute"/>
        <w:rPr>
          <w:rFonts w:ascii="方正小标宋简体" w:hAnsi="方正小标宋简体" w:eastAsia="方正小标宋简体" w:cs="方正小标宋简体"/>
          <w:w w:val="130"/>
          <w:sz w:val="20"/>
          <w:szCs w:val="20"/>
        </w:rPr>
      </w:pPr>
    </w:p>
    <w:p>
      <w:pPr>
        <w:jc w:val="distribute"/>
        <w:rPr>
          <w:rFonts w:ascii="方正小标宋简体" w:hAnsi="方正小标宋简体" w:eastAsia="方正小标宋简体" w:cs="方正小标宋简体"/>
          <w:w w:val="13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30"/>
          <w:sz w:val="44"/>
          <w:szCs w:val="44"/>
          <w:lang w:bidi="ar"/>
        </w:rPr>
        <w:t>西藏自治区食品安全地方标准</w:t>
      </w:r>
    </w:p>
    <w:p>
      <w:pPr>
        <w:jc w:val="right"/>
        <w:rPr>
          <w:b/>
          <w:sz w:val="28"/>
          <w:szCs w:val="28"/>
        </w:rPr>
      </w:pPr>
      <w:r>
        <w:rPr>
          <w:rFonts w:ascii="Times New Roman" w:hAnsi="Times New Roman" w:eastAsia="宋体" w:cs="Times New Roman"/>
          <w:b/>
          <w:sz w:val="28"/>
          <w:szCs w:val="28"/>
          <w:lang w:bidi="ar"/>
        </w:rPr>
        <w:t>DBS54/2001</w:t>
      </w:r>
      <w:r>
        <w:rPr>
          <w:rFonts w:hint="eastAsia" w:ascii="Times New Roman" w:hAnsi="Times New Roman" w:eastAsia="宋体" w:cs="宋体"/>
          <w:b/>
          <w:sz w:val="28"/>
          <w:szCs w:val="28"/>
          <w:lang w:bidi="ar"/>
        </w:rPr>
        <w:t>－</w:t>
      </w:r>
      <w:r>
        <w:rPr>
          <w:rFonts w:ascii="Times New Roman" w:hAnsi="Times New Roman" w:eastAsia="宋体" w:cs="Times New Roman"/>
          <w:b/>
          <w:sz w:val="28"/>
          <w:szCs w:val="28"/>
          <w:lang w:bidi="ar"/>
        </w:rPr>
        <w:t>2017</w:t>
      </w:r>
    </w:p>
    <w:p>
      <w:pPr>
        <w:rPr>
          <w:u w:val="single"/>
        </w:rPr>
      </w:pPr>
      <w:r>
        <w:rPr>
          <w:rFonts w:ascii="Times New Roman" w:hAnsi="Times New Roman" w:eastAsia="宋体" w:cs="Times New Roman"/>
          <w:u w:val="single"/>
          <w:lang w:bidi="ar"/>
        </w:rPr>
        <w:t xml:space="preserve">                                                                               </w:t>
      </w:r>
    </w:p>
    <w:p/>
    <w:p/>
    <w:p/>
    <w:p/>
    <w:p/>
    <w:p/>
    <w:p>
      <w:pPr>
        <w:spacing w:line="800" w:lineRule="exact"/>
        <w:jc w:val="center"/>
        <w:rPr>
          <w:rFonts w:ascii="黑体" w:eastAsia="黑体" w:cs="黑体"/>
          <w:b/>
          <w:sz w:val="52"/>
          <w:szCs w:val="52"/>
        </w:rPr>
      </w:pPr>
      <w:bookmarkStart w:id="2" w:name="_GoBack"/>
      <w:r>
        <w:rPr>
          <w:rFonts w:hint="eastAsia" w:ascii="黑体" w:hAnsi="Times New Roman" w:eastAsia="黑体" w:cs="黑体"/>
          <w:b/>
          <w:sz w:val="52"/>
          <w:szCs w:val="52"/>
          <w:lang w:bidi="ar"/>
        </w:rPr>
        <w:t>食品安全地方标准</w:t>
      </w:r>
    </w:p>
    <w:p>
      <w:pPr>
        <w:spacing w:line="800" w:lineRule="exact"/>
        <w:jc w:val="center"/>
        <w:rPr>
          <w:b/>
          <w:sz w:val="52"/>
          <w:szCs w:val="52"/>
        </w:rPr>
      </w:pPr>
      <w:r>
        <w:rPr>
          <w:rFonts w:hint="eastAsia" w:ascii="黑体" w:hAnsi="Times New Roman" w:eastAsia="黑体" w:cs="黑体"/>
          <w:b/>
          <w:sz w:val="52"/>
          <w:szCs w:val="52"/>
          <w:lang w:bidi="ar"/>
        </w:rPr>
        <w:t>风干牛肉</w:t>
      </w:r>
      <w:bookmarkEnd w:id="2"/>
    </w:p>
    <w:p/>
    <w:p/>
    <w:p/>
    <w:p/>
    <w:p/>
    <w:p/>
    <w:p/>
    <w:p/>
    <w:p/>
    <w:p/>
    <w:p/>
    <w:p/>
    <w:p/>
    <w:p/>
    <w:p/>
    <w:p/>
    <w:p>
      <w:pPr>
        <w:rPr>
          <w:rFonts w:ascii="黑体" w:eastAsia="黑体" w:cs="黑体"/>
          <w:sz w:val="28"/>
          <w:szCs w:val="28"/>
        </w:rPr>
      </w:pPr>
      <w:r>
        <w:rPr>
          <w:rFonts w:ascii="Times New Roman" w:hAnsi="Times New Roman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332740</wp:posOffset>
                </wp:positionV>
                <wp:extent cx="5257800" cy="0"/>
                <wp:effectExtent l="0" t="0" r="0" b="0"/>
                <wp:wrapNone/>
                <wp:docPr id="4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0pt;margin-top:26.2pt;height:0pt;width:414pt;z-index:251659264;mso-width-relative:page;mso-height-relative:page;" filled="f" stroked="t" coordsize="21600,21600" o:gfxdata="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uu6JR9MAAAAGAQAADwAAAAAAAAABACAAAAAiAAAAZHJzL2Rvd25yZXYueG1s&#10;UEsBAhQAFAAAAAgAh07iQEfPGLXEAQAAgQMAAA4AAAAAAAAAAQAgAAAAIgEAAGRycy9lMm9Eb2Mu&#10;eG1sUEsFBgAAAAAGAAYAWQEAAF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Times New Roman" w:eastAsia="黑体" w:cs="黑体"/>
          <w:sz w:val="28"/>
          <w:szCs w:val="28"/>
          <w:lang w:bidi="ar"/>
        </w:rPr>
        <w:t>2017―05―01发布                          2017―10―01实施</w:t>
      </w:r>
    </w:p>
    <w:p>
      <w:pPr>
        <w:rPr>
          <w:rFonts w:ascii="黑体" w:eastAsia="黑体" w:cs="黑体"/>
          <w:sz w:val="28"/>
          <w:szCs w:val="28"/>
        </w:rPr>
      </w:pPr>
    </w:p>
    <w:p>
      <w:pPr>
        <w:jc w:val="center"/>
        <w:rPr>
          <w:rFonts w:ascii="黑体" w:eastAsia="黑体" w:cs="黑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w w:val="120"/>
          <w:sz w:val="36"/>
          <w:szCs w:val="36"/>
          <w:lang w:bidi="ar"/>
        </w:rPr>
        <w:t>西藏自治区卫生和计划生育委员会</w:t>
      </w:r>
      <w:r>
        <w:rPr>
          <w:rFonts w:hint="eastAsia" w:ascii="黑体" w:hAnsi="Times New Roman" w:eastAsia="黑体" w:cs="黑体"/>
          <w:sz w:val="28"/>
          <w:szCs w:val="28"/>
          <w:lang w:bidi="ar"/>
        </w:rPr>
        <w:t xml:space="preserve">  发 布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目   次</w:t>
      </w:r>
    </w:p>
    <w:p>
      <w:pPr>
        <w:rPr>
          <w:sz w:val="28"/>
          <w:szCs w:val="28"/>
        </w:rPr>
      </w:pP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前言……………………………………………………………………………………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I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  范围………………………………………………………………………………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1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  规范性引用文件…………………………………………………………………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1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  术语和定义………………………………………………………………………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2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  技术要求…………………………………………………………………………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3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  检验方法…………………………………………………………………………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5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  检验规则…………………………………………………………………………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7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  标签和标志、包装、运输、贮存………………………………………………</w:t>
      </w:r>
      <w:r>
        <w:rPr>
          <w:rFonts w:hint="eastAsia" w:ascii="Times New Roman" w:hAnsi="Times New Roman" w:cs="Times New Roman"/>
          <w:sz w:val="24"/>
        </w:rPr>
        <w:t>8</w:t>
      </w:r>
    </w:p>
    <w:p>
      <w:pPr>
        <w:spacing w:line="600" w:lineRule="exact"/>
        <w:jc w:val="distribute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  保质期……………………………………………………………………………</w:t>
      </w:r>
      <w:r>
        <w:rPr>
          <w:rFonts w:hint="eastAsia" w:ascii="Times New Roman" w:hAnsi="Times New Roman" w:cs="Times New Roman"/>
          <w:sz w:val="24"/>
        </w:rPr>
        <w:t>9</w:t>
      </w:r>
    </w:p>
    <w:p>
      <w:pPr>
        <w:rPr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titlePg/>
          <w:docGrid w:type="lines" w:linePitch="312" w:charSpace="0"/>
        </w:sectPr>
      </w:pPr>
    </w:p>
    <w:p>
      <w:pPr>
        <w:rPr>
          <w:sz w:val="28"/>
          <w:szCs w:val="28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前  言</w:t>
      </w:r>
    </w:p>
    <w:p>
      <w:pPr>
        <w:rPr>
          <w:sz w:val="28"/>
          <w:szCs w:val="28"/>
        </w:rPr>
      </w:pPr>
    </w:p>
    <w:p>
      <w:pPr>
        <w:spacing w:line="600" w:lineRule="exact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本标准由西藏自治区卫生和计划生育委员会提出并归口。</w:t>
      </w:r>
    </w:p>
    <w:p>
      <w:pPr>
        <w:spacing w:line="600" w:lineRule="exact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本标准起草单位：西藏出入境检验检疫局检验检疫技术中心</w:t>
      </w:r>
    </w:p>
    <w:p>
      <w:pPr>
        <w:spacing w:line="600" w:lineRule="exact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                西藏奇圣土特产品有限公司</w:t>
      </w:r>
    </w:p>
    <w:p>
      <w:pPr>
        <w:spacing w:line="600" w:lineRule="exact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本标准主要起草人：王  君、王顺芝、曹 晓 钢、文  艺</w:t>
      </w:r>
    </w:p>
    <w:p>
      <w:pPr>
        <w:spacing w:line="600" w:lineRule="exact"/>
        <w:jc w:val="lef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                  李建民、卓玛足、次仁拉珍、李思德</w:t>
      </w:r>
    </w:p>
    <w:p>
      <w:pPr>
        <w:spacing w:line="600" w:lineRule="exact"/>
        <w:jc w:val="left"/>
        <w:rPr>
          <w:rFonts w:ascii="Times New Roman" w:hAnsi="Times New Roman" w:cs="Times New Roman"/>
          <w:sz w:val="24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食品安全地方标准  风干牛肉</w:t>
      </w:r>
    </w:p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1  范围</w:t>
      </w:r>
    </w:p>
    <w:p>
      <w:pPr>
        <w:spacing w:line="560" w:lineRule="exact"/>
        <w:ind w:firstLine="560"/>
        <w:rPr>
          <w:sz w:val="24"/>
        </w:rPr>
      </w:pPr>
      <w:r>
        <w:rPr>
          <w:rFonts w:hint="eastAsia"/>
          <w:sz w:val="24"/>
        </w:rPr>
        <w:t>本标准规定了风干牛肉的术语和定义、原料和辅料、技术要求、生产加工过程、检验方法、检验规则、标签和包装、运输、贮存的基本要求。</w:t>
      </w:r>
    </w:p>
    <w:p>
      <w:pPr>
        <w:spacing w:line="560" w:lineRule="exact"/>
        <w:ind w:firstLine="560"/>
        <w:rPr>
          <w:sz w:val="24"/>
        </w:rPr>
      </w:pPr>
      <w:r>
        <w:rPr>
          <w:rFonts w:hint="eastAsia"/>
          <w:sz w:val="24"/>
        </w:rPr>
        <w:t>本标准适用于西藏自治区内以鲜（冻）牛肉为主要原料，经加工制成的风干牛肉的生产、检验和销售。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2  规范性引用文件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 xml:space="preserve">GB 2707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鲜（冻）畜肉卫生标准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2760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食品添加剂使用标准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2762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食品中污染物限量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4789.2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食品微生物学检验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菌落总数测定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4789.3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食品</w:t>
      </w:r>
      <w:r>
        <w:rPr>
          <w:rFonts w:ascii="Times New Roman" w:hAnsi="Times New Roman" w:cs="Times New Roman"/>
          <w:sz w:val="24"/>
        </w:rPr>
        <w:t>微生物学检验</w:t>
      </w:r>
      <w:r>
        <w:rPr>
          <w:rFonts w:hint="eastAsia" w:ascii="Times New Roman" w:hAnsi="Times New Roman" w:cs="Times New Roman"/>
          <w:sz w:val="24"/>
        </w:rPr>
        <w:t xml:space="preserve">  大</w:t>
      </w:r>
      <w:r>
        <w:rPr>
          <w:rFonts w:ascii="Times New Roman" w:hAnsi="Times New Roman" w:cs="Times New Roman"/>
          <w:sz w:val="24"/>
        </w:rPr>
        <w:t>肠菌群计数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4789.4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食品微生物学检验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沙门氏菌检验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4789.10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食品微生物学检验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金黄色葡萄球菌检验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4789.15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食品微生物学检验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霉菌</w:t>
      </w:r>
      <w:r>
        <w:rPr>
          <w:rFonts w:hint="eastAsia" w:ascii="Times New Roman" w:hAnsi="Times New Roman" w:cs="Times New Roman"/>
          <w:sz w:val="24"/>
        </w:rPr>
        <w:t>和</w:t>
      </w:r>
      <w:r>
        <w:rPr>
          <w:rFonts w:ascii="Times New Roman" w:hAnsi="Times New Roman" w:cs="Times New Roman"/>
          <w:sz w:val="24"/>
        </w:rPr>
        <w:t>酵母菌计数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4789.30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食品微生物学检验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       </w:t>
      </w:r>
      <w:r>
        <w:rPr>
          <w:rFonts w:ascii="Times New Roman" w:hAnsi="Times New Roman" w:cs="Times New Roman"/>
          <w:sz w:val="24"/>
        </w:rPr>
        <w:t>单核细胞增生李斯特氏菌检验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GB 5009.3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食品中水分的测定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5009.5</w:t>
      </w:r>
      <w:r>
        <w:rPr>
          <w:rFonts w:hint="eastAsia" w:ascii="Times New Roman" w:hAnsi="Times New Roman" w:cs="Times New Roman"/>
          <w:sz w:val="24"/>
        </w:rPr>
        <w:t xml:space="preserve">   食品</w:t>
      </w:r>
      <w:r>
        <w:rPr>
          <w:rFonts w:ascii="Times New Roman" w:hAnsi="Times New Roman" w:cs="Times New Roman"/>
          <w:sz w:val="24"/>
        </w:rPr>
        <w:t>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食品中蛋白质的测定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5009.11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食品中总砷及无机砷的测定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5009.12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食品中铅的测定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5009.15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食品中镉的测定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5009.17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食品中总汞及有机汞的测定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5009.33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</w:t>
      </w:r>
      <w:r>
        <w:rPr>
          <w:rFonts w:hint="eastAsia" w:ascii="Times New Roman" w:hAnsi="Times New Roman" w:cs="Times New Roman"/>
          <w:sz w:val="24"/>
        </w:rPr>
        <w:t>亚</w:t>
      </w:r>
      <w:r>
        <w:rPr>
          <w:rFonts w:ascii="Times New Roman" w:hAnsi="Times New Roman" w:cs="Times New Roman"/>
          <w:sz w:val="24"/>
        </w:rPr>
        <w:t>硝酸盐与硝酸盐的测定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5009.35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食品中合成着色剂的测定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5009.44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食品中氯化物的测定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</w:t>
      </w:r>
      <w:r>
        <w:rPr>
          <w:rFonts w:hint="eastAsia"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227</w:t>
      </w:r>
      <w:r>
        <w:rPr>
          <w:rFonts w:hint="eastAsia" w:ascii="Times New Roman" w:hAnsi="Times New Roman" w:cs="Times New Roman"/>
          <w:sz w:val="24"/>
        </w:rPr>
        <w:t xml:space="preserve">  食品</w:t>
      </w:r>
      <w:r>
        <w:rPr>
          <w:rFonts w:ascii="Times New Roman" w:hAnsi="Times New Roman" w:cs="Times New Roman"/>
          <w:sz w:val="24"/>
        </w:rPr>
        <w:t>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食品中过氧化值的测定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5009.228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食品中挥发性盐基氮的测定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5461   食用盐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GB 7718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 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预包装食品标签通则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CB</w:t>
      </w:r>
      <w:r>
        <w:rPr>
          <w:rFonts w:hint="eastAsia"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4881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食品生产通</w:t>
      </w:r>
      <w:r>
        <w:rPr>
          <w:rFonts w:hint="eastAsia" w:ascii="Times New Roman" w:hAnsi="Times New Roman" w:cs="Times New Roman"/>
          <w:sz w:val="24"/>
        </w:rPr>
        <w:t>用</w:t>
      </w:r>
      <w:r>
        <w:rPr>
          <w:rFonts w:ascii="Times New Roman" w:hAnsi="Times New Roman" w:cs="Times New Roman"/>
          <w:sz w:val="24"/>
        </w:rPr>
        <w:t>卫生规范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28050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预包装食品营养标签通则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 29921  食品安全国家标准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食品中致病菌限量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GB/T 191  包装贮运图示标志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</w:t>
      </w:r>
      <w:r>
        <w:rPr>
          <w:rFonts w:hint="eastAsia"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T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4789.36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食品卫生微生物学检验</w:t>
      </w:r>
      <w:r>
        <w:rPr>
          <w:rFonts w:hint="eastAsia" w:ascii="Times New Roman" w:hAnsi="Times New Roman" w:cs="Times New Roman"/>
          <w:sz w:val="24"/>
        </w:rPr>
        <w:t xml:space="preserve">  大</w:t>
      </w:r>
      <w:r>
        <w:rPr>
          <w:rFonts w:ascii="Times New Roman" w:hAnsi="Times New Roman" w:cs="Times New Roman"/>
          <w:sz w:val="24"/>
        </w:rPr>
        <w:t>肠埃希氏菌</w:t>
      </w:r>
      <w:r>
        <w:rPr>
          <w:rFonts w:hint="eastAsia"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>157: H7</w:t>
      </w:r>
      <w:r>
        <w:rPr>
          <w:rFonts w:hint="eastAsia"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NM检验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</w:t>
      </w:r>
      <w:r>
        <w:rPr>
          <w:rFonts w:hint="eastAsia"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T 5009.6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食品中脂肪的测定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GB</w:t>
      </w:r>
      <w:r>
        <w:rPr>
          <w:rFonts w:hint="eastAsia"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 xml:space="preserve">T 23495  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食品中苯甲酸、山梨酸和糖精钠的测定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高效液相色谱法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JJF 1070  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 xml:space="preserve">  定量包装商品净含量计量检验规则</w:t>
      </w:r>
    </w:p>
    <w:p>
      <w:pPr>
        <w:spacing w:line="560" w:lineRule="exact"/>
        <w:ind w:firstLine="480"/>
        <w:rPr>
          <w:rFonts w:ascii="黑体" w:hAnsi="黑体" w:eastAsia="黑体" w:cs="黑体"/>
          <w:sz w:val="24"/>
        </w:rPr>
      </w:pPr>
      <w:r>
        <w:rPr>
          <w:rFonts w:ascii="Times New Roman" w:hAnsi="Times New Roman" w:cs="Times New Roman"/>
          <w:sz w:val="24"/>
        </w:rPr>
        <w:t>国家质量监督检验检疫总局[2005]第75号令《定量包装商品计量监督管理办法》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3  术语和定义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下</w:t>
      </w:r>
      <w:r>
        <w:rPr>
          <w:rFonts w:ascii="Times New Roman" w:hAnsi="Times New Roman" w:cs="Times New Roman"/>
          <w:sz w:val="24"/>
        </w:rPr>
        <w:t>列术语和定义适用</w:t>
      </w:r>
      <w:r>
        <w:rPr>
          <w:rFonts w:hint="eastAsia" w:ascii="Times New Roman" w:hAnsi="Times New Roman" w:cs="Times New Roman"/>
          <w:sz w:val="24"/>
        </w:rPr>
        <w:t>于</w:t>
      </w:r>
      <w:r>
        <w:rPr>
          <w:rFonts w:ascii="Times New Roman" w:hAnsi="Times New Roman" w:cs="Times New Roman"/>
          <w:sz w:val="24"/>
        </w:rPr>
        <w:t>本标准。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3.1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风干牛肉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以鲜（冻）牛肉的胴体或其分割体为原料，配辅料或不配辅料，经修割、切条、风干、杀菌、包装等</w:t>
      </w:r>
      <w:r>
        <w:rPr>
          <w:rFonts w:hint="eastAsia" w:ascii="Times New Roman" w:hAnsi="Times New Roman" w:cs="Times New Roman"/>
          <w:sz w:val="24"/>
        </w:rPr>
        <w:t>工</w:t>
      </w:r>
      <w:r>
        <w:rPr>
          <w:rFonts w:ascii="Times New Roman" w:hAnsi="Times New Roman" w:cs="Times New Roman"/>
          <w:sz w:val="24"/>
        </w:rPr>
        <w:t>艺制成的其他类食品。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3.2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风干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采</w:t>
      </w:r>
      <w:r>
        <w:rPr>
          <w:rFonts w:hint="eastAsia" w:ascii="Times New Roman" w:hAnsi="Times New Roman" w:cs="Times New Roman"/>
          <w:sz w:val="24"/>
        </w:rPr>
        <w:t>用自</w:t>
      </w:r>
      <w:r>
        <w:rPr>
          <w:rFonts w:ascii="Times New Roman" w:hAnsi="Times New Roman" w:cs="Times New Roman"/>
          <w:sz w:val="24"/>
        </w:rPr>
        <w:t>然风干或封闭室内机械通风，使产品的水分适量降低，并产生特有风味的过程。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4  技术要求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4.1  原、辅料要求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4.1.1  牛肉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黑体" w:hAnsi="黑体" w:eastAsia="黑体" w:cs="黑体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应选用</w:t>
      </w:r>
      <w:r>
        <w:rPr>
          <w:rFonts w:hint="eastAsia" w:ascii="Times New Roman" w:hAnsi="Times New Roman" w:cs="Times New Roman"/>
          <w:sz w:val="24"/>
        </w:rPr>
        <w:t>来自</w:t>
      </w:r>
      <w:r>
        <w:rPr>
          <w:rFonts w:ascii="Times New Roman" w:hAnsi="Times New Roman" w:cs="Times New Roman"/>
          <w:sz w:val="24"/>
        </w:rPr>
        <w:t>非疫区，检疫合格的牛肉，经过去骨、皮，筋腱，并符合GB 2707的相关要求。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4.1.2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食用盐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应符合GB 5461的要求。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4.1.3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其他辅料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应符合相关国家标准或行业标准的要求。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4.2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感官要求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应符合表1规定。</w:t>
      </w:r>
    </w:p>
    <w:p>
      <w:pPr>
        <w:spacing w:line="600" w:lineRule="exact"/>
        <w:jc w:val="center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表1  感官要求</w:t>
      </w: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7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</w:t>
            </w:r>
          </w:p>
        </w:tc>
        <w:tc>
          <w:tcPr>
            <w:tcW w:w="71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色泽</w:t>
            </w:r>
          </w:p>
        </w:tc>
        <w:tc>
          <w:tcPr>
            <w:tcW w:w="71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按配料不同，表面呈风干牛肉的自然色泽。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滋味气味</w:t>
            </w:r>
          </w:p>
        </w:tc>
        <w:tc>
          <w:tcPr>
            <w:tcW w:w="71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具有该品种特有的滋味和气味（原味、五香、麻辣等味），无异味。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组织形态</w:t>
            </w:r>
          </w:p>
        </w:tc>
        <w:tc>
          <w:tcPr>
            <w:tcW w:w="718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呈条状，大小基本均匀，允许有少量脂肪析出，表面可见牛肉纤维的细微绒毛或香辛料。</w:t>
            </w:r>
          </w:p>
        </w:tc>
      </w:tr>
    </w:tbl>
    <w:p>
      <w:pPr>
        <w:spacing w:line="560" w:lineRule="exact"/>
        <w:rPr>
          <w:rFonts w:ascii="黑体" w:hAnsi="黑体" w:eastAsia="黑体" w:cs="黑体"/>
          <w:sz w:val="24"/>
        </w:rPr>
      </w:pP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4.3  理化指标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理化指标应符合表2的规定</w:t>
      </w:r>
    </w:p>
    <w:p>
      <w:pPr>
        <w:spacing w:line="560" w:lineRule="exact"/>
        <w:jc w:val="center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表</w:t>
      </w:r>
      <w:r>
        <w:rPr>
          <w:rFonts w:hint="eastAsia" w:ascii="黑体" w:hAnsi="黑体" w:eastAsia="黑体" w:cs="黑体"/>
          <w:sz w:val="24"/>
        </w:rPr>
        <w:t>2</w:t>
      </w:r>
      <w:r>
        <w:rPr>
          <w:rFonts w:ascii="黑体" w:hAnsi="黑体" w:eastAsia="黑体" w:cs="黑体"/>
          <w:sz w:val="24"/>
        </w:rPr>
        <w:t xml:space="preserve">  </w:t>
      </w:r>
      <w:r>
        <w:rPr>
          <w:rFonts w:hint="eastAsia" w:ascii="黑体" w:hAnsi="黑体" w:eastAsia="黑体" w:cs="黑体"/>
          <w:sz w:val="24"/>
        </w:rPr>
        <w:t>理化指标</w:t>
      </w: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水分/（g/100g）    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蛋白质/（g/100g）  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≥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脂肪/（g/100g）    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氯化物</w:t>
            </w:r>
            <w:r>
              <w:rPr>
                <w:rFonts w:hint="eastAsia" w:ascii="Times New Roman" w:hAnsi="Times New Roman" w:cs="Times New Roman"/>
                <w:sz w:val="24"/>
                <w:vertAlign w:val="superscript"/>
              </w:rPr>
              <w:t>a</w:t>
            </w:r>
            <w:r>
              <w:rPr>
                <w:rFonts w:hint="eastAsia" w:ascii="Times New Roman" w:hAnsi="Times New Roman" w:cs="Times New Roman"/>
                <w:sz w:val="24"/>
              </w:rPr>
              <w:t>（以C1</w:t>
            </w:r>
            <w:r>
              <w:rPr>
                <w:rFonts w:hint="eastAsia" w:ascii="Times New Roman" w:hAnsi="Times New Roman" w:cs="Times New Roman"/>
                <w:sz w:val="24"/>
                <w:vertAlign w:val="superscript"/>
              </w:rPr>
              <w:t>－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计）/（%）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挥发性盐基氮</w:t>
            </w:r>
            <w:r>
              <w:rPr>
                <w:rFonts w:hint="eastAsia" w:ascii="Times New Roman" w:hAnsi="Times New Roman" w:cs="Times New Roman"/>
                <w:sz w:val="24"/>
                <w:vertAlign w:val="superscript"/>
              </w:rPr>
              <w:t>b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/（mg/100g）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40.0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过氧化值（以脂肪计）/（g/100g）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亚硝酸盐/（mg/kg）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铅（以Pb计）/（mg/kg）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总砷（以As计）/（mg/kg）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总汞（以Hg计）/（mg/kg）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镉（以Cd计）/（mg/kg）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山梨酸/（g/kg）    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0.075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苯甲酸</w:t>
            </w:r>
          </w:p>
        </w:tc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符合GB2760要求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胭脂红</w:t>
            </w:r>
          </w:p>
        </w:tc>
        <w:tc>
          <w:tcPr>
            <w:tcW w:w="426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52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注：a仅限于添加了食盐的风干牛肉。b仅限于未添加辅料的风干牛肉。</w:t>
            </w:r>
          </w:p>
        </w:tc>
      </w:tr>
    </w:tbl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4.4  微生物指标</w:t>
      </w:r>
    </w:p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菌落总数、大肠菌群、霉菌应符合表3的规定。</w:t>
      </w:r>
    </w:p>
    <w:p>
      <w:pPr>
        <w:spacing w:line="560" w:lineRule="exact"/>
        <w:jc w:val="center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表3  微生物指标</w:t>
      </w: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261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菌落总数（CFU/g）  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大肠菌群（MPN/100g）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4261" w:type="dxa"/>
            <w:vAlign w:val="center"/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霉菌（CFU/g）                   </w:t>
            </w:r>
            <w:r>
              <w:rPr>
                <w:rFonts w:hint="eastAsia" w:ascii="宋体" w:hAnsi="宋体" w:eastAsia="宋体" w:cs="宋体"/>
                <w:sz w:val="24"/>
                <w:lang w:bidi="ar"/>
              </w:rPr>
              <w:t>≤</w:t>
            </w:r>
          </w:p>
        </w:tc>
        <w:tc>
          <w:tcPr>
            <w:tcW w:w="426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50</w:t>
            </w:r>
          </w:p>
        </w:tc>
      </w:tr>
    </w:tbl>
    <w:p>
      <w:pPr>
        <w:spacing w:line="560" w:lineRule="exact"/>
        <w:ind w:firstLine="560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沙门氏菌、单核细胞增生李斯特氏菌、金黄色葡萄球菌、大肠埃希氏菌O157：H7应符合表4的规定。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表4  微生物指标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1"/>
        <w:gridCol w:w="1395"/>
        <w:gridCol w:w="1395"/>
        <w:gridCol w:w="1395"/>
        <w:gridCol w:w="1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94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</w:t>
            </w:r>
          </w:p>
        </w:tc>
        <w:tc>
          <w:tcPr>
            <w:tcW w:w="5581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采样方案及限量（均以/25g表示）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94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m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9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沙门氏菌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9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单核细胞增生李斯特氏菌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9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金黄色葡萄球菌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100CFU/g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1000CFU/g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94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大肠埃希氏菌O157：H7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5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0</w:t>
            </w:r>
          </w:p>
        </w:tc>
        <w:tc>
          <w:tcPr>
            <w:tcW w:w="139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8522" w:type="dxa"/>
            <w:gridSpan w:val="5"/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注：n为同一批次产品采集的样品件数；c为最大可允许超出m值的样品数；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 xml:space="preserve">    m为致病菌指标可接受水平的限量值；M为致病菌指标的最高安全限量值。</w:t>
            </w:r>
          </w:p>
        </w:tc>
      </w:tr>
    </w:tbl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4.5  净含量及允差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应符合国家质量监督检验检疫总局令[2005]第75号《定量包装商品计量监督管理办法》的规定。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4.6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生产加工过程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风干牛肉生产加工过程的卫生要求应符合GB 14881的规定。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检验方法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5.1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感官检验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在</w:t>
      </w:r>
      <w:r>
        <w:rPr>
          <w:rFonts w:hint="eastAsia" w:ascii="Times New Roman" w:hAnsi="Times New Roman" w:cs="Times New Roman"/>
          <w:sz w:val="24"/>
        </w:rPr>
        <w:t>自</w:t>
      </w:r>
      <w:r>
        <w:rPr>
          <w:rFonts w:ascii="Times New Roman" w:hAnsi="Times New Roman" w:cs="Times New Roman"/>
          <w:sz w:val="24"/>
        </w:rPr>
        <w:t>然光线</w:t>
      </w:r>
      <w:r>
        <w:rPr>
          <w:rFonts w:hint="eastAsia" w:ascii="Times New Roman" w:hAnsi="Times New Roman" w:cs="Times New Roman"/>
          <w:sz w:val="24"/>
        </w:rPr>
        <w:t>下</w:t>
      </w:r>
      <w:r>
        <w:rPr>
          <w:rFonts w:ascii="Times New Roman" w:hAnsi="Times New Roman" w:cs="Times New Roman"/>
          <w:sz w:val="24"/>
        </w:rPr>
        <w:t>，按本标准感官指标进行目测、味觉、嗅觉检验。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5.2  理化检验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5.2.1  水分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按GB 5009.3规定的方法测定。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蛋白质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5009.5规定的方法测定。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脂肪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按GB/T 5009.6规定的方法测定。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5.2.4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氯化物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5009.44规定的方法测定。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5.2.5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挥发性盐基氮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5009.228规定的方法测定。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5.2.6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过氧化值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5009.227规定的方法测定。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5.2.7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亚硝酸盐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5009.33规定的方法测定。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5.2.8  铅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5009.12规定的方法测定。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5.2.9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总砷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5009.11规定的方法测定。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</w:t>
      </w:r>
      <w:r>
        <w:rPr>
          <w:rFonts w:hint="eastAsia" w:ascii="黑体" w:hAnsi="黑体" w:eastAsia="黑体" w:cs="黑体"/>
          <w:sz w:val="24"/>
        </w:rPr>
        <w:t>.</w:t>
      </w:r>
      <w:r>
        <w:rPr>
          <w:rFonts w:ascii="黑体" w:hAnsi="黑体" w:eastAsia="黑体" w:cs="黑体"/>
          <w:sz w:val="24"/>
        </w:rPr>
        <w:t>10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总汞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5009.17规定的方法测定。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</w:t>
      </w:r>
      <w:r>
        <w:rPr>
          <w:rFonts w:hint="eastAsia" w:ascii="黑体" w:hAnsi="黑体" w:eastAsia="黑体" w:cs="黑体"/>
          <w:sz w:val="24"/>
        </w:rPr>
        <w:t>.</w:t>
      </w:r>
      <w:r>
        <w:rPr>
          <w:rFonts w:ascii="黑体" w:hAnsi="黑体" w:eastAsia="黑体" w:cs="黑体"/>
          <w:sz w:val="24"/>
        </w:rPr>
        <w:t>11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镉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按GB 5009.15规定的方法测定。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5.2.12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山梨酸、苯甲酸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按GB/T 23495规定的方法测定。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5.2.13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胭脂红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5009.35规定的方法测定。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微生物检验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5.3.1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菌落总数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4789.2规定的方法测定。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大肠菌群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4789.3规定的方法测定。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霉菌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4789.15规定的方法测定。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5.3.4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沙门氏菌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4789.4规定的方法测定。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5.3.5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单核细胞增生李斯特氏菌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4789.30规定的方法测定。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5.3.6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金黄色葡萄球菌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 4789.10规定的方法测定。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5.3.7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大肠埃希氏菌0157</w:t>
      </w:r>
      <w:r>
        <w:rPr>
          <w:rFonts w:hint="eastAsia" w:ascii="黑体" w:hAnsi="黑体" w:eastAsia="黑体" w:cs="黑体"/>
          <w:sz w:val="24"/>
        </w:rPr>
        <w:t>:</w:t>
      </w:r>
      <w:r>
        <w:rPr>
          <w:rFonts w:ascii="黑体" w:hAnsi="黑体" w:eastAsia="黑体" w:cs="黑体"/>
          <w:sz w:val="24"/>
        </w:rPr>
        <w:t>H7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按GB/T 4789.36规定的方法测定。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5.4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净含量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按JJF 1070规定的方法测定。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6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检验规则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6.1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组批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同一班次，同一批投料、同一品种、同一规格的产品为一批。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6.2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抽样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每批次抽样样品数量不小于2kg，且不应少</w:t>
      </w:r>
      <w:r>
        <w:rPr>
          <w:rFonts w:hint="eastAsia" w:ascii="Times New Roman" w:hAnsi="Times New Roman" w:cs="Times New Roman"/>
          <w:sz w:val="24"/>
        </w:rPr>
        <w:t>于</w:t>
      </w:r>
      <w:r>
        <w:rPr>
          <w:rFonts w:ascii="Times New Roman" w:hAnsi="Times New Roman" w:cs="Times New Roman"/>
          <w:sz w:val="24"/>
        </w:rPr>
        <w:t>12袋，并将1/3样品进行封存，保留备查。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6.3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检验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6.3.1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出厂检验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出厂检验项目符合本标准要求，则可判为合格品。4.4规定的微生物指标如有一项不符合要求，即判该批产品不合格。4.2，4.3规定的指标如有一项以上（含一项）不符合本标准规定，应重新</w:t>
      </w:r>
      <w:r>
        <w:rPr>
          <w:rFonts w:hint="eastAsia" w:ascii="Times New Roman" w:hAnsi="Times New Roman" w:cs="Times New Roman"/>
          <w:sz w:val="24"/>
        </w:rPr>
        <w:t>自</w:t>
      </w:r>
      <w:r>
        <w:rPr>
          <w:rFonts w:ascii="Times New Roman" w:hAnsi="Times New Roman" w:cs="Times New Roman"/>
          <w:sz w:val="24"/>
        </w:rPr>
        <w:t>同批产品中抽取两倍量的样品进行复检，以复检结果为准。若仍有一项不合格，则判该批产品不合格。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6.3.2  型式检验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产品在</w:t>
      </w:r>
      <w:r>
        <w:rPr>
          <w:rFonts w:hint="eastAsia" w:ascii="Times New Roman" w:hAnsi="Times New Roman" w:cs="Times New Roman"/>
          <w:sz w:val="24"/>
        </w:rPr>
        <w:t>正</w:t>
      </w:r>
      <w:r>
        <w:rPr>
          <w:rFonts w:ascii="Times New Roman" w:hAnsi="Times New Roman" w:cs="Times New Roman"/>
          <w:sz w:val="24"/>
        </w:rPr>
        <w:t>常生产时，每半年进行一次型式检验，有</w:t>
      </w:r>
      <w:r>
        <w:rPr>
          <w:rFonts w:hint="eastAsia" w:ascii="Times New Roman" w:hAnsi="Times New Roman" w:cs="Times New Roman"/>
          <w:sz w:val="24"/>
        </w:rPr>
        <w:t>下</w:t>
      </w:r>
      <w:r>
        <w:rPr>
          <w:rFonts w:ascii="Times New Roman" w:hAnsi="Times New Roman" w:cs="Times New Roman"/>
          <w:sz w:val="24"/>
        </w:rPr>
        <w:t>列情况之一的，应进行型式检验：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a</w:t>
      </w:r>
      <w:r>
        <w:rPr>
          <w:rFonts w:hint="eastAsia"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新产品试制鉴定时；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b</w:t>
      </w:r>
      <w:r>
        <w:rPr>
          <w:rFonts w:hint="eastAsia"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原料</w:t>
      </w:r>
      <w:r>
        <w:rPr>
          <w:rFonts w:hint="eastAsia" w:ascii="Times New Roman" w:hAnsi="Times New Roman" w:cs="Times New Roman"/>
          <w:sz w:val="24"/>
        </w:rPr>
        <w:t>、工</w:t>
      </w:r>
      <w:r>
        <w:rPr>
          <w:rFonts w:ascii="Times New Roman" w:hAnsi="Times New Roman" w:cs="Times New Roman"/>
          <w:sz w:val="24"/>
        </w:rPr>
        <w:t>艺、设备有较大变化，可能影响产品性能时；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c</w:t>
      </w:r>
      <w:r>
        <w:rPr>
          <w:rFonts w:hint="eastAsia"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产品停产半年以上，再恢复生产时；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d</w:t>
      </w:r>
      <w:r>
        <w:rPr>
          <w:rFonts w:hint="eastAsia"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出厂检验结果与上次型式检验结果</w:t>
      </w:r>
      <w:r>
        <w:rPr>
          <w:rFonts w:hint="eastAsia" w:ascii="Times New Roman" w:hAnsi="Times New Roman" w:cs="Times New Roman"/>
          <w:sz w:val="24"/>
        </w:rPr>
        <w:t>有较大</w:t>
      </w:r>
      <w:r>
        <w:rPr>
          <w:rFonts w:ascii="Times New Roman" w:hAnsi="Times New Roman" w:cs="Times New Roman"/>
          <w:sz w:val="24"/>
        </w:rPr>
        <w:t>差异时；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e</w:t>
      </w:r>
      <w:r>
        <w:rPr>
          <w:rFonts w:hint="eastAsia"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食品安全监督机构提出要求时。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型式检验项目为4.2，4.3，4.4规定的所有项目。型式检验项目全部符合本标准规定，则判为合格。4.2，4.3中有一项以上（含一项）不符合本标准规定，应重新用同批产品中的样品进行复检，若有一项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指标（含一项）不符合本标准规定，则判该批产品不合格。4.4规定的微生物项</w:t>
      </w:r>
      <w:r>
        <w:rPr>
          <w:rFonts w:hint="eastAsia" w:ascii="Times New Roman" w:hAnsi="Times New Roman" w:cs="Times New Roman"/>
          <w:sz w:val="24"/>
        </w:rPr>
        <w:t>目</w:t>
      </w:r>
      <w:r>
        <w:rPr>
          <w:rFonts w:ascii="Times New Roman" w:hAnsi="Times New Roman" w:cs="Times New Roman"/>
          <w:sz w:val="24"/>
        </w:rPr>
        <w:t>不合格时，不得复检。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7  标签和标志、包装、运输、贮存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7.1  标签和标志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黑体" w:hAnsi="黑体" w:eastAsia="黑体" w:cs="黑体"/>
          <w:sz w:val="24"/>
        </w:rPr>
        <w:t>7.1.1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产品应预包装，其标签应符合GB 7718和GB 28050的要求。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黑体" w:hAnsi="黑体" w:eastAsia="黑体" w:cs="黑体"/>
          <w:sz w:val="24"/>
        </w:rPr>
        <w:t>7.1.2</w:t>
      </w:r>
      <w:r>
        <w:rPr>
          <w:rFonts w:hint="eastAsia" w:ascii="Times New Roman" w:hAnsi="Times New Roman" w:cs="Times New Roman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包装箱标志应符合GB/T 191的规定。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7.2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包装</w:t>
      </w:r>
    </w:p>
    <w:p>
      <w:pPr>
        <w:spacing w:line="560" w:lineRule="exact"/>
        <w:ind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产品按不同包装规格定量包装，包装容器和材料应符合相应的卫生标准和有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关规定。包装封口应严密。外包装纸箱、盒和袋应完整、清洁、无污染。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7.3  运输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产品严禁与有毒、有害、有腐蚀性、易挥发、有异味的物品混装、混运，宜采用冷藏车运输，防止日晒雨淋。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ascii="黑体" w:hAnsi="黑体" w:eastAsia="黑体" w:cs="黑体"/>
          <w:sz w:val="24"/>
        </w:rPr>
        <w:t>7.4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黑体" w:hAnsi="黑体" w:eastAsia="黑体" w:cs="黑体"/>
          <w:sz w:val="24"/>
        </w:rPr>
        <w:t>贮存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黑体" w:hAnsi="黑体" w:eastAsia="黑体" w:cs="黑体"/>
          <w:sz w:val="24"/>
        </w:rPr>
        <w:t>7.4.1</w:t>
      </w:r>
      <w:r>
        <w:rPr>
          <w:rFonts w:ascii="Times New Roman" w:hAnsi="Times New Roman" w:cs="Times New Roman"/>
          <w:sz w:val="24"/>
        </w:rPr>
        <w:t xml:space="preserve">  贮存仓库应有防潮防鼠措施，保持清洁、通风良好、雨季做好防潮防霉</w:t>
      </w:r>
      <w:r>
        <w:rPr>
          <w:rFonts w:hint="eastAsia" w:ascii="Times New Roman" w:hAnsi="Times New Roman" w:cs="Times New Roman"/>
          <w:sz w:val="24"/>
        </w:rPr>
        <w:t>工</w:t>
      </w:r>
      <w:r>
        <w:rPr>
          <w:rFonts w:ascii="Times New Roman" w:hAnsi="Times New Roman" w:cs="Times New Roman"/>
          <w:sz w:val="24"/>
        </w:rPr>
        <w:t>作。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黑体" w:hAnsi="黑体" w:eastAsia="黑体" w:cs="黑体"/>
          <w:sz w:val="24"/>
        </w:rPr>
        <w:t>7.4.2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成品箱不得露天堆放或与地面直接接触，成品箱与地面和墙壁的距离都应不小</w:t>
      </w:r>
      <w:r>
        <w:rPr>
          <w:rFonts w:hint="eastAsia" w:ascii="Times New Roman" w:hAnsi="Times New Roman" w:cs="Times New Roman"/>
          <w:sz w:val="24"/>
        </w:rPr>
        <w:t>于10</w:t>
      </w:r>
      <w:r>
        <w:rPr>
          <w:rFonts w:ascii="Times New Roman" w:hAnsi="Times New Roman" w:cs="Times New Roman"/>
          <w:sz w:val="24"/>
        </w:rPr>
        <w:t>cm。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ascii="黑体" w:hAnsi="黑体" w:eastAsia="黑体" w:cs="黑体"/>
          <w:sz w:val="24"/>
        </w:rPr>
        <w:t>7.4.3</w:t>
      </w:r>
      <w:r>
        <w:rPr>
          <w:rFonts w:hint="eastAsia" w:ascii="黑体" w:hAnsi="黑体" w:eastAsia="黑体" w:cs="黑体"/>
          <w:sz w:val="24"/>
        </w:rPr>
        <w:t xml:space="preserve">  </w:t>
      </w:r>
      <w:r>
        <w:rPr>
          <w:rFonts w:ascii="Times New Roman" w:hAnsi="Times New Roman" w:cs="Times New Roman"/>
          <w:sz w:val="24"/>
        </w:rPr>
        <w:t>采用冷藏、避光贮存，贮存温度&lt;10℃，不应与有腐蚀性或易发潮的货物及与有毒化学药品和有害物混存。</w:t>
      </w:r>
    </w:p>
    <w:p>
      <w:pPr>
        <w:spacing w:line="56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8  保质期</w:t>
      </w:r>
    </w:p>
    <w:p>
      <w:pPr>
        <w:spacing w:line="560" w:lineRule="exact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    </w:t>
      </w:r>
      <w:r>
        <w:rPr>
          <w:rFonts w:ascii="Times New Roman" w:hAnsi="Times New Roman" w:cs="Times New Roman"/>
          <w:sz w:val="24"/>
        </w:rPr>
        <w:t>在上述规定的运输、贮存条件下，保质期为12个月。</w:t>
      </w:r>
      <w:bookmarkEnd w:id="0"/>
      <w:bookmarkEnd w:id="1"/>
    </w:p>
    <w:sectPr>
      <w:footerReference r:id="rId5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Times New Roman" w:hAnsi="Times New Roman" w:cs="Times New Roman"/>
                        <w:sz w:val="18"/>
                      </w:rPr>
                    </w:pPr>
                    <w:r>
                      <w:rPr>
                        <w:rFonts w:ascii="Times New Roman" w:hAnsi="Times New Roman" w:cs="Times New Roman"/>
                        <w:sz w:val="1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t>9</w:t>
                          </w:r>
                          <w:r>
                            <w:rPr>
                              <w:rFonts w:ascii="Times New Roman" w:hAnsi="Times New Roman" w:cs="Times New Roman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Times New Roman" w:hAnsi="Times New Roman" w:cs="Times New Roman"/>
                        <w:sz w:val="18"/>
                      </w:rPr>
                    </w:pPr>
                    <w:r>
                      <w:rPr>
                        <w:rFonts w:ascii="Times New Roman" w:hAnsi="Times New Roman" w:cs="Times New Roman"/>
                        <w:sz w:val="1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t>9</w:t>
                    </w:r>
                    <w:r>
                      <w:rPr>
                        <w:rFonts w:ascii="Times New Roman" w:hAnsi="Times New Roman" w:cs="Times New Roman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cs="Times New Roman"/>
        <w:b/>
        <w:bCs/>
        <w:sz w:val="24"/>
      </w:rPr>
    </w:pPr>
  </w:p>
  <w:p>
    <w:pPr>
      <w:pStyle w:val="3"/>
      <w:jc w:val="right"/>
      <w:rPr>
        <w:rFonts w:ascii="Times New Roman" w:hAnsi="Times New Roman" w:cs="Times New Roman"/>
        <w:b/>
        <w:bCs/>
        <w:sz w:val="24"/>
      </w:rPr>
    </w:pPr>
    <w:r>
      <w:rPr>
        <w:rFonts w:ascii="Times New Roman" w:hAnsi="Times New Roman" w:cs="Times New Roman"/>
        <w:b/>
        <w:bCs/>
        <w:sz w:val="24"/>
      </w:rPr>
      <w:t>DBS54</w:t>
    </w:r>
    <w:r>
      <w:rPr>
        <w:rFonts w:hint="eastAsia" w:ascii="Times New Roman" w:hAnsi="Times New Roman" w:cs="Times New Roman"/>
        <w:b/>
        <w:bCs/>
        <w:sz w:val="24"/>
      </w:rPr>
      <w:t xml:space="preserve"> </w:t>
    </w:r>
    <w:r>
      <w:rPr>
        <w:rFonts w:ascii="Times New Roman" w:hAnsi="Times New Roman" w:cs="Times New Roman"/>
        <w:b/>
        <w:bCs/>
        <w:sz w:val="24"/>
      </w:rPr>
      <w:t>/</w:t>
    </w:r>
    <w:r>
      <w:rPr>
        <w:rFonts w:hint="eastAsia" w:ascii="Times New Roman" w:hAnsi="Times New Roman" w:cs="Times New Roman"/>
        <w:b/>
        <w:bCs/>
        <w:sz w:val="24"/>
      </w:rPr>
      <w:t xml:space="preserve"> </w:t>
    </w:r>
    <w:r>
      <w:rPr>
        <w:rFonts w:ascii="Times New Roman" w:hAnsi="Times New Roman" w:cs="Times New Roman"/>
        <w:b/>
        <w:bCs/>
        <w:sz w:val="24"/>
      </w:rPr>
      <w:t>2001－2017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332E7"/>
    <w:rsid w:val="00250666"/>
    <w:rsid w:val="0041616B"/>
    <w:rsid w:val="0047760B"/>
    <w:rsid w:val="00546604"/>
    <w:rsid w:val="006200DC"/>
    <w:rsid w:val="00641EAB"/>
    <w:rsid w:val="008218C3"/>
    <w:rsid w:val="00963DE9"/>
    <w:rsid w:val="00D0187E"/>
    <w:rsid w:val="09931A39"/>
    <w:rsid w:val="144A49E8"/>
    <w:rsid w:val="1BAC4908"/>
    <w:rsid w:val="1C525D0C"/>
    <w:rsid w:val="35AA1F3D"/>
    <w:rsid w:val="36B332E7"/>
    <w:rsid w:val="40124BBA"/>
    <w:rsid w:val="465C0472"/>
    <w:rsid w:val="522670EA"/>
    <w:rsid w:val="6F2A393C"/>
    <w:rsid w:val="7E5A550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834</Words>
  <Characters>4755</Characters>
  <Lines>39</Lines>
  <Paragraphs>11</Paragraphs>
  <TotalTime>0</TotalTime>
  <ScaleCrop>false</ScaleCrop>
  <LinksUpToDate>false</LinksUpToDate>
  <CharactersWithSpaces>5578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2017-04-25T05:06:00Z</dcterms:created>
  <dc:creator>Administrator</dc:creator>
  <cp:lastModifiedBy>Administrator</cp:lastModifiedBy>
  <cp:lastPrinted>2017-03-07T09:19:00Z</cp:lastPrinted>
  <dcterms:modified xsi:type="dcterms:W3CDTF">2017-05-02T03:50:34Z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  <property fmtid="{D5CDD505-2E9C-101B-9397-08002B2CF9AE}" pid="3" name="_DocHome">
    <vt:i4>1838821873</vt:i4>
  </property>
</Properties>
</file>