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03.080.01</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宋体" w:hAnsi="宋体"/>
                <w:sz w:val="28"/>
                <w:szCs w:val="28"/>
              </w:rPr>
              <w:drawing>
                <wp:anchor distT="0" distB="0" distL="114300" distR="114300" simplePos="0" relativeHeight="251661312" behindDoc="0" locked="0" layoutInCell="1" allowOverlap="1">
                  <wp:simplePos x="0" y="0"/>
                  <wp:positionH relativeFrom="column">
                    <wp:posOffset>3797300</wp:posOffset>
                  </wp:positionH>
                  <wp:positionV relativeFrom="paragraph">
                    <wp:posOffset>53975</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700" cy="487680"/>
                          </a:xfrm>
                          <a:prstGeom prst="rect">
                            <a:avLst/>
                          </a:prstGeom>
                        </pic:spPr>
                      </pic:pic>
                    </a:graphicData>
                  </a:graphic>
                </wp:anchor>
              </w:drawing>
            </w: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20</w:t>
            </w:r>
            <w:r>
              <w:rPr>
                <w:rFonts w:ascii="黑体" w:hAnsi="黑体" w:eastAsia="黑体"/>
                <w:sz w:val="21"/>
                <w:szCs w:val="21"/>
              </w:rP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5"/>
      </w:pPr>
      <w:r>
        <w:fldChar w:fldCharType="begin">
          <w:ffData>
            <w:name w:val="文字1"/>
            <w:enabled/>
            <w:calcOnExit w:val="0"/>
            <w:textInput>
              <w:default w:val="GB "/>
            </w:textInput>
          </w:ffData>
        </w:fldChar>
      </w:r>
      <w:bookmarkStart w:id="4" w:name="文字1"/>
      <w:r>
        <w:instrText xml:space="preserve"> FORMTEXT </w:instrText>
      </w:r>
      <w:r>
        <w:fldChar w:fldCharType="separate"/>
      </w:r>
      <w:r>
        <w:t>DB</w:t>
      </w:r>
      <w:r>
        <w:rPr>
          <w:rFonts w:hint="eastAsia"/>
        </w:rPr>
        <w:t xml:space="preserve">37/T </w:t>
      </w:r>
      <w:r>
        <w:fldChar w:fldCharType="end"/>
      </w:r>
      <w:bookmarkEnd w:id="4"/>
      <w:r>
        <w:fldChar w:fldCharType="begin">
          <w:ffData>
            <w:name w:val="NSTD_CODE_F"/>
            <w:enabled/>
            <w:calcOnExit w:val="0"/>
            <w:textInput>
              <w:default w:val="XXXXX"/>
            </w:textInput>
          </w:ffData>
        </w:fldChar>
      </w:r>
      <w:bookmarkStart w:id="5" w:name="NSTD_CODE_F"/>
      <w:r>
        <w:instrText xml:space="preserve"> FORMTEXT </w:instrText>
      </w:r>
      <w:r>
        <w:fldChar w:fldCharType="separate"/>
      </w:r>
      <w:r>
        <w:rPr>
          <w:rFonts w:hint="eastAsia"/>
          <w:lang w:eastAsia="zh-CN"/>
        </w:rPr>
        <w:t>4</w:t>
      </w:r>
      <w:r>
        <w:rPr>
          <w:rFonts w:hint="eastAsia"/>
          <w:lang w:val="en-US" w:eastAsia="zh-CN"/>
        </w:rPr>
        <w:t>452</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2021</w:t>
      </w:r>
      <w:r>
        <w:fldChar w:fldCharType="end"/>
      </w:r>
      <w:bookmarkEnd w:id="6"/>
    </w:p>
    <w:p>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pStyle w:val="49"/>
        <w:framePr w:w="0" w:hRule="auto" w:wrap="around" w:x="5614" w:y="398"/>
        <w:ind w:firstLine="2304"/>
        <w:jc w:val="both"/>
      </w:pPr>
      <w:r>
        <w:fldChar w:fldCharType="begin">
          <w:ffData>
            <w:name w:val="c1"/>
            <w:enabled/>
            <w:calcOnExit w:val="0"/>
            <w:textInput>
              <w:maxLength w:val="2"/>
            </w:textInput>
          </w:ffData>
        </w:fldChar>
      </w:r>
      <w:bookmarkStart w:id="8" w:name="c1"/>
      <w:r>
        <w:instrText xml:space="preserve"> FORMTEXT </w:instrText>
      </w:r>
      <w:r>
        <w:fldChar w:fldCharType="separate"/>
      </w:r>
      <w:r>
        <w:rPr>
          <w:rFonts w:hint="eastAsia"/>
        </w:rPr>
        <w:t>37</w:t>
      </w:r>
      <w: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2050" o:spt="20" style="position:absolute;left:0pt;margin-left:70.9pt;margin-top:212.6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">
            <v:path arrowok="t"/>
            <v:fill focussize="0,0"/>
            <v:stroke/>
            <v:imagedata o:title=""/>
            <o:lock v:ext="edit"/>
          </v:line>
        </w:pic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山东省</w:t>
      </w:r>
      <w:r>
        <w:rPr>
          <w:rFonts w:hint="eastAsia"/>
        </w:rPr>
        <w:t>教育、卫生等服务业用水定额</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Water quota for </w:t>
      </w:r>
      <w:r>
        <w:rPr>
          <w:rFonts w:eastAsia="黑体"/>
          <w:szCs w:val="28"/>
        </w:rPr>
        <w:t>education</w:t>
      </w:r>
      <w:r>
        <w:rPr>
          <w:rFonts w:hint="eastAsia" w:eastAsia="黑体"/>
          <w:szCs w:val="28"/>
        </w:rPr>
        <w:t>, medical institutions and other services industry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Lines="300"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021</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3"/>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6"/>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w:t>
      </w:r>
      <w:r>
        <w:rPr>
          <w:rFonts w:hAnsi="黑体"/>
          <w:w w:val="100"/>
          <w:sz w:val="28"/>
        </w:rPr>
        <w:t>市场监督管理</w:t>
      </w:r>
      <w:r>
        <w:rPr>
          <w:rFonts w:hint="eastAsia" w:hAnsi="黑体"/>
          <w:w w:val="100"/>
          <w:sz w:val="28"/>
        </w:rPr>
        <w:t>局</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2051" o:spt="20" style="position:absolute;left:0pt;margin-left:70.85pt;margin-top:728.55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">
            <v:path arrowok="t"/>
            <v:fill focussize="0,0"/>
            <v:stroke/>
            <v:imagedata o:title=""/>
            <o:lock v:ext="edit"/>
            <w10:anchorlock/>
          </v:line>
        </w:pict>
      </w:r>
    </w:p>
    <w:p>
      <w:pPr>
        <w:pStyle w:val="89"/>
        <w:spacing w:after="468"/>
      </w:pPr>
      <w:bookmarkStart w:id="46" w:name="_GoBack"/>
      <w:bookmarkEnd w:id="46"/>
      <w:bookmarkStart w:id="18" w:name="BookMark2"/>
      <w:r>
        <w:rPr>
          <w:spacing w:val="320"/>
        </w:rPr>
        <w:t>前</w:t>
      </w:r>
      <w:r>
        <w:t>言</w:t>
      </w:r>
    </w:p>
    <w:p>
      <w:pPr>
        <w:pStyle w:val="56"/>
        <w:snapToGrid w:val="0"/>
        <w:ind w:firstLine="420"/>
        <w:rPr>
          <w:rFonts w:hAnsi="宋体"/>
        </w:rPr>
      </w:pPr>
      <w:r>
        <w:rPr>
          <w:rFonts w:hint="eastAsia"/>
        </w:rPr>
        <w:t>本文件</w:t>
      </w:r>
      <w:r>
        <w:rPr>
          <w:rFonts w:hint="eastAsia" w:hAnsi="宋体"/>
        </w:rPr>
        <w:t>按照</w:t>
      </w:r>
      <w:r>
        <w:rPr>
          <w:rFonts w:hAnsi="宋体"/>
        </w:rPr>
        <w:t>GB/T</w:t>
      </w:r>
      <w:r>
        <w:rPr>
          <w:rFonts w:hint="eastAsia" w:hAnsi="宋体"/>
        </w:rPr>
        <w:t xml:space="preserve"> 1.1—2020《标准化工作导则  第1部分：标准化文件的结构和起草规则》的规定起草。</w:t>
      </w:r>
    </w:p>
    <w:p>
      <w:pPr>
        <w:autoSpaceDE w:val="0"/>
        <w:autoSpaceDN w:val="0"/>
        <w:snapToGrid w:val="0"/>
        <w:spacing w:line="240" w:lineRule="auto"/>
        <w:ind w:firstLine="420" w:firstLineChars="200"/>
        <w:jc w:val="left"/>
        <w:rPr>
          <w:rFonts w:cs="宋体"/>
          <w:kern w:val="0"/>
        </w:rPr>
      </w:pPr>
      <w:r>
        <w:rPr>
          <w:rFonts w:hint="eastAsia" w:cs="宋体"/>
          <w:kern w:val="0"/>
        </w:rPr>
        <w:t>请注意本文件的某些内容可能涉及专利。本文件的发布机构不承担识别专利的责任。</w:t>
      </w:r>
    </w:p>
    <w:p>
      <w:pPr>
        <w:pStyle w:val="239"/>
        <w:snapToGrid w:val="0"/>
        <w:ind w:left="0" w:firstLine="420" w:firstLineChars="200"/>
        <w:jc w:val="left"/>
        <w:rPr>
          <w:rFonts w:ascii="Times New Roman"/>
        </w:rPr>
      </w:pPr>
      <w:r>
        <w:rPr>
          <w:rFonts w:hint="eastAsia" w:ascii="Times New Roman"/>
        </w:rPr>
        <w:t>本文件由山东省水利厅提出、归口并组织实施。</w:t>
      </w:r>
    </w:p>
    <w:p>
      <w:pPr>
        <w:pStyle w:val="238"/>
        <w:adjustRightInd w:val="0"/>
        <w:snapToGrid w:val="0"/>
        <w:jc w:val="left"/>
        <w:rPr>
          <w:rFonts w:ascii="Times New Roman"/>
        </w:rPr>
      </w:pPr>
    </w:p>
    <w:p>
      <w:pPr>
        <w:pStyle w:val="238"/>
        <w:adjustRightInd w:val="0"/>
        <w:snapToGrid w:val="0"/>
        <w:jc w:val="left"/>
        <w:rPr>
          <w:rFonts w:ascii="Times New Roman"/>
        </w:rPr>
      </w:pPr>
    </w:p>
    <w:p>
      <w:pPr>
        <w:pStyle w:val="56"/>
        <w:ind w:firstLine="420"/>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p>
    <w:bookmarkEnd w:id="18"/>
    <w:p>
      <w:pPr>
        <w:pStyle w:val="89"/>
        <w:spacing w:after="468"/>
      </w:pPr>
      <w:bookmarkStart w:id="19" w:name="BookMark3"/>
      <w:r>
        <w:rPr>
          <w:spacing w:val="320"/>
        </w:rPr>
        <w:t>引</w:t>
      </w:r>
      <w:r>
        <w:t>言</w:t>
      </w:r>
    </w:p>
    <w:p>
      <w:pPr>
        <w:pStyle w:val="56"/>
        <w:ind w:firstLine="420"/>
      </w:pPr>
      <w:r>
        <w:rPr>
          <w:rFonts w:hint="eastAsia"/>
        </w:rPr>
        <w:t>取用水量核定是国家实施取水许可制度、实行计划用水管理和开展水资源论证的基础。用水定额标准是核定取用水量的重要依据，是考核行业和用水单位水资源利用效率、评价用水单位节水水平的主要指标之一，也是落实最严格水资源管理制度的重要手段。</w:t>
      </w:r>
    </w:p>
    <w:p>
      <w:pPr>
        <w:pStyle w:val="56"/>
        <w:ind w:firstLine="420"/>
      </w:pPr>
      <w:r>
        <w:rPr>
          <w:rFonts w:hint="eastAsia"/>
        </w:rPr>
        <w:t>本文件根据不同服务业行业的用水特点，明确其取水量范围、取水量供给范围以及取用水量的计量，规定用水定额的计算方法，划分定额指标等级，并对定额管理做出要求。</w:t>
      </w:r>
    </w:p>
    <w:p>
      <w:pPr>
        <w:pStyle w:val="56"/>
        <w:ind w:firstLine="420"/>
      </w:pPr>
    </w:p>
    <w:p>
      <w:pPr>
        <w:pStyle w:val="56"/>
        <w:ind w:firstLine="420"/>
        <w:sectPr>
          <w:pgSz w:w="11906" w:h="16838"/>
          <w:pgMar w:top="1871" w:right="1134" w:bottom="1134" w:left="1134" w:header="1418" w:footer="1134" w:gutter="284"/>
          <w:pgNumType w:fmt="upperRoman"/>
          <w:cols w:space="425" w:num="1"/>
          <w:formProt w:val="0"/>
          <w:docGrid w:type="lines" w:linePitch="312" w:charSpace="0"/>
        </w:sectPr>
      </w:pPr>
    </w:p>
    <w:bookmarkEnd w:id="19"/>
    <w:p>
      <w:pPr>
        <w:spacing w:line="20" w:lineRule="exact"/>
        <w:jc w:val="center"/>
        <w:rPr>
          <w:rFonts w:ascii="黑体" w:hAnsi="黑体" w:eastAsia="黑体"/>
          <w:sz w:val="32"/>
          <w:szCs w:val="32"/>
        </w:rPr>
      </w:pPr>
      <w:bookmarkStart w:id="20" w:name="BookMark4"/>
    </w:p>
    <w:p>
      <w:pPr>
        <w:spacing w:line="20" w:lineRule="exact"/>
        <w:jc w:val="center"/>
        <w:rPr>
          <w:rFonts w:ascii="黑体" w:hAnsi="黑体" w:eastAsia="黑体"/>
          <w:sz w:val="32"/>
          <w:szCs w:val="32"/>
        </w:rPr>
      </w:pPr>
    </w:p>
    <w:sdt>
      <w:sdtPr>
        <w:tag w:val="NEW_STAND_NAME"/>
        <w:id w:val="595910757"/>
        <w:lock w:val="sdtLocked"/>
        <w:placeholder>
          <w:docPart w:val="AEB0A6BE21D8406D95D2B01D761281C3"/>
        </w:placeholder>
      </w:sdtPr>
      <w:sdtEndPr>
        <w:rPr>
          <w:spacing w:val="-10"/>
        </w:rPr>
      </w:sdtEndPr>
      <w:sdtContent>
        <w:p>
          <w:pPr>
            <w:pStyle w:val="177"/>
            <w:spacing w:beforeLines="100" w:afterLines="220"/>
          </w:pPr>
          <w:bookmarkStart w:id="21" w:name="NEW_STAND_NAME"/>
          <w:r>
            <w:rPr>
              <w:rFonts w:hint="eastAsia"/>
            </w:rPr>
            <w:t>山东省教育、卫生等服务业用水定额</w:t>
          </w:r>
        </w:p>
      </w:sdtContent>
    </w:sdt>
    <w:bookmarkEnd w:id="21"/>
    <w:p>
      <w:pPr>
        <w:pStyle w:val="104"/>
        <w:spacing w:before="312" w:after="312"/>
      </w:pPr>
      <w:bookmarkStart w:id="22" w:name="_Toc24884211"/>
      <w:bookmarkStart w:id="23" w:name="_Toc26718930"/>
      <w:bookmarkStart w:id="24" w:name="_Toc26986771"/>
      <w:bookmarkStart w:id="25" w:name="_Toc17233333"/>
      <w:bookmarkStart w:id="26" w:name="_Toc26986530"/>
      <w:bookmarkStart w:id="27" w:name="_Toc26648465"/>
      <w:bookmarkStart w:id="28" w:name="_Toc24884218"/>
      <w:bookmarkStart w:id="29" w:name="_Toc17233325"/>
      <w:r>
        <w:rPr>
          <w:rFonts w:hint="eastAsia"/>
        </w:rPr>
        <w:t>范围</w:t>
      </w:r>
      <w:bookmarkEnd w:id="22"/>
      <w:bookmarkEnd w:id="23"/>
      <w:bookmarkEnd w:id="24"/>
      <w:bookmarkEnd w:id="25"/>
      <w:bookmarkEnd w:id="26"/>
      <w:bookmarkEnd w:id="27"/>
      <w:bookmarkEnd w:id="28"/>
      <w:bookmarkEnd w:id="29"/>
    </w:p>
    <w:p>
      <w:pPr>
        <w:pStyle w:val="238"/>
        <w:snapToGrid w:val="0"/>
        <w:rPr>
          <w:rFonts w:ascii="Times New Roman"/>
        </w:rPr>
      </w:pPr>
      <w:bookmarkStart w:id="30" w:name="_Toc17233326"/>
      <w:bookmarkStart w:id="31" w:name="_Toc24884219"/>
      <w:bookmarkStart w:id="32" w:name="_Toc17233334"/>
      <w:bookmarkStart w:id="33" w:name="_Toc24884212"/>
      <w:bookmarkStart w:id="34" w:name="_Toc26648466"/>
      <w:r>
        <w:rPr>
          <w:rFonts w:hint="eastAsia" w:ascii="Times New Roman"/>
        </w:rPr>
        <w:t>本文件规定了本省教育、卫生等服务业用水定额指标。</w:t>
      </w:r>
    </w:p>
    <w:p>
      <w:pPr>
        <w:pStyle w:val="238"/>
        <w:snapToGrid w:val="0"/>
        <w:rPr>
          <w:rFonts w:ascii="Times New Roman"/>
        </w:rPr>
      </w:pPr>
      <w:r>
        <w:rPr>
          <w:rFonts w:hint="eastAsia" w:ascii="Times New Roman"/>
        </w:rPr>
        <w:t>本文件适用于指导本省教育、卫生等服务业用水。</w:t>
      </w:r>
    </w:p>
    <w:p>
      <w:pPr>
        <w:pStyle w:val="104"/>
        <w:spacing w:before="312" w:after="312"/>
      </w:pPr>
      <w:bookmarkStart w:id="35" w:name="_Toc26718931"/>
      <w:bookmarkStart w:id="36" w:name="_Toc26986772"/>
      <w:bookmarkStart w:id="37" w:name="_Toc269865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039AAA68D805408B93E8459CA00DD4C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Ansi="宋体"/>
        </w:rPr>
      </w:pPr>
      <w:r>
        <w:rPr>
          <w:rFonts w:hint="eastAsia" w:hAnsi="宋体"/>
        </w:rPr>
        <w:t>GB/T 4754　国民经济行业分类</w:t>
      </w:r>
    </w:p>
    <w:p>
      <w:pPr>
        <w:pStyle w:val="56"/>
        <w:ind w:firstLine="420"/>
        <w:rPr>
          <w:rFonts w:hAnsi="宋体"/>
        </w:rPr>
      </w:pPr>
      <w:r>
        <w:rPr>
          <w:rFonts w:hint="eastAsia" w:hAnsi="宋体"/>
        </w:rPr>
        <w:t>GB/T 12452　企业水平衡测试通则</w:t>
      </w:r>
    </w:p>
    <w:p>
      <w:pPr>
        <w:pStyle w:val="56"/>
        <w:ind w:firstLine="420"/>
        <w:rPr>
          <w:rFonts w:hAnsi="宋体"/>
          <w:color w:val="000000" w:themeColor="text1"/>
        </w:rPr>
      </w:pPr>
      <w:r>
        <w:rPr>
          <w:rFonts w:hint="eastAsia" w:hAnsi="宋体"/>
        </w:rPr>
        <w:t xml:space="preserve">GB </w:t>
      </w:r>
      <w:r>
        <w:rPr>
          <w:rFonts w:hint="eastAsia" w:hAnsi="宋体"/>
          <w:color w:val="000000" w:themeColor="text1"/>
        </w:rPr>
        <w:t>24789　用水单位水计量器具配备和管理通则</w:t>
      </w:r>
    </w:p>
    <w:p>
      <w:pPr>
        <w:pStyle w:val="56"/>
        <w:ind w:firstLine="420"/>
        <w:rPr>
          <w:rFonts w:hAnsi="宋体"/>
        </w:rPr>
      </w:pPr>
      <w:r>
        <w:rPr>
          <w:rFonts w:hAnsi="宋体"/>
        </w:rPr>
        <w:t>GB/T</w:t>
      </w:r>
      <w:r>
        <w:rPr>
          <w:rFonts w:hint="eastAsia" w:hAnsi="宋体"/>
        </w:rPr>
        <w:t xml:space="preserve"> 32716　用水定额编制技术导则</w:t>
      </w:r>
    </w:p>
    <w:p>
      <w:pPr>
        <w:pStyle w:val="104"/>
        <w:spacing w:before="312" w:after="312"/>
      </w:pPr>
      <w:r>
        <w:rPr>
          <w:rFonts w:hint="eastAsia"/>
          <w:szCs w:val="21"/>
        </w:rPr>
        <w:t>术语和定义</w:t>
      </w:r>
    </w:p>
    <w:p>
      <w:pPr>
        <w:snapToGrid w:val="0"/>
        <w:spacing w:line="240" w:lineRule="auto"/>
        <w:ind w:firstLine="420" w:firstLineChars="200"/>
      </w:pPr>
      <w:r>
        <w:rPr>
          <w:rFonts w:ascii="宋体" w:hAnsi="Times New Roman"/>
          <w:kern w:val="0"/>
          <w:szCs w:val="20"/>
        </w:rPr>
        <w:t>GB/T 32716界定的以及下列术语和定义适用于本文件。</w:t>
      </w:r>
    </w:p>
    <w:p>
      <w:pPr>
        <w:pStyle w:val="223"/>
        <w:ind w:left="420" w:hanging="420" w:hangingChars="200"/>
        <w:rPr>
          <w:rFonts w:ascii="黑体" w:hAnsi="黑体" w:eastAsia="黑体"/>
        </w:rPr>
      </w:pPr>
      <w:bookmarkStart w:id="38" w:name="_Hlk87354884"/>
      <w:r>
        <w:rPr>
          <w:rFonts w:ascii="黑体" w:hAnsi="黑体" w:eastAsia="黑体"/>
        </w:rPr>
        <w:br w:type="textWrapping"/>
      </w:r>
      <w:r>
        <w:rPr>
          <w:rFonts w:hint="eastAsia" w:ascii="黑体" w:hAnsi="黑体" w:eastAsia="黑体"/>
        </w:rPr>
        <w:t>用水量　</w:t>
      </w:r>
      <w:r>
        <w:rPr>
          <w:rFonts w:ascii="黑体" w:hAnsi="黑体" w:eastAsia="黑体"/>
        </w:rPr>
        <w:t>quantity of water intake</w:t>
      </w:r>
    </w:p>
    <w:p>
      <w:pPr>
        <w:pStyle w:val="56"/>
        <w:ind w:firstLine="420"/>
        <w:rPr>
          <w:rFonts w:hAnsi="宋体"/>
        </w:rPr>
      </w:pPr>
      <w:r>
        <w:rPr>
          <w:rFonts w:hint="eastAsia" w:hAnsi="宋体"/>
        </w:rPr>
        <w:t>用水户的取水量，不包括重复用水量。</w:t>
      </w:r>
    </w:p>
    <w:p>
      <w:pPr>
        <w:pStyle w:val="56"/>
        <w:ind w:firstLine="420"/>
        <w:rPr>
          <w:rFonts w:hAnsi="宋体"/>
        </w:rPr>
      </w:pPr>
      <w:r>
        <w:rPr>
          <w:rFonts w:hint="eastAsia" w:hAnsi="宋体"/>
        </w:rPr>
        <w:t>[来源：</w:t>
      </w:r>
      <w:r>
        <w:t>GB/T</w:t>
      </w:r>
      <w:r>
        <w:rPr>
          <w:rFonts w:hAnsi="宋体"/>
        </w:rPr>
        <w:t xml:space="preserve"> 32716</w:t>
      </w:r>
      <w:r>
        <w:rPr>
          <w:rFonts w:hint="eastAsia" w:hAnsi="宋体"/>
        </w:rPr>
        <w:t>—2016，</w:t>
      </w:r>
      <w:r>
        <w:rPr>
          <w:rFonts w:hAnsi="宋体"/>
        </w:rPr>
        <w:t>3.1</w:t>
      </w:r>
      <w:r>
        <w:rPr>
          <w:rFonts w:hint="eastAsia" w:hAnsi="宋体"/>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服务业用水定额　</w:t>
      </w:r>
      <w:r>
        <w:rPr>
          <w:rFonts w:ascii="黑体" w:hAnsi="黑体" w:eastAsia="黑体"/>
        </w:rPr>
        <w:t>norm of water intake for service</w:t>
      </w:r>
    </w:p>
    <w:p>
      <w:pPr>
        <w:pStyle w:val="56"/>
        <w:ind w:firstLine="420"/>
      </w:pPr>
      <w:r>
        <w:rPr>
          <w:rFonts w:hint="eastAsia"/>
        </w:rPr>
        <w:t>一定时期内服务单位单个用水人员或者单个服务设施、单位服务面积、单个服务对象等单位时间用水量的限定值。</w:t>
      </w:r>
    </w:p>
    <w:p>
      <w:pPr>
        <w:pStyle w:val="56"/>
        <w:ind w:firstLine="420"/>
      </w:pPr>
      <w:r>
        <w:rPr>
          <w:rFonts w:hint="eastAsia" w:hAnsi="宋体"/>
        </w:rPr>
        <w:t>[</w:t>
      </w:r>
      <w:r>
        <w:rPr>
          <w:rFonts w:hint="eastAsia"/>
        </w:rPr>
        <w:t>来源：</w:t>
      </w:r>
      <w:r>
        <w:t xml:space="preserve">GB/T </w:t>
      </w:r>
      <w:r>
        <w:rPr>
          <w:rFonts w:hAnsi="宋体"/>
        </w:rPr>
        <w:t>32716</w:t>
      </w:r>
      <w:r>
        <w:rPr>
          <w:rFonts w:hint="eastAsia" w:hAnsi="宋体"/>
        </w:rPr>
        <w:t>—2016，</w:t>
      </w:r>
      <w:r>
        <w:rPr>
          <w:rFonts w:hAnsi="宋体"/>
        </w:rPr>
        <w:t>3.9</w:t>
      </w:r>
      <w:r>
        <w:rPr>
          <w:rFonts w:hint="eastAsia" w:hAnsi="宋体"/>
        </w:rPr>
        <w:t>]</w:t>
      </w:r>
    </w:p>
    <w:bookmarkEnd w:id="38"/>
    <w:p>
      <w:pPr>
        <w:pStyle w:val="104"/>
        <w:spacing w:before="312" w:after="312"/>
      </w:pPr>
      <w:r>
        <w:rPr>
          <w:rFonts w:hint="eastAsia"/>
        </w:rPr>
        <w:t>计算方法</w:t>
      </w:r>
    </w:p>
    <w:p>
      <w:pPr>
        <w:pStyle w:val="105"/>
        <w:spacing w:before="156" w:after="156"/>
      </w:pPr>
      <w:r>
        <w:rPr>
          <w:rFonts w:hint="eastAsia"/>
        </w:rPr>
        <w:t>一般规定</w:t>
      </w:r>
    </w:p>
    <w:p>
      <w:pPr>
        <w:pStyle w:val="65"/>
        <w:spacing w:before="156" w:after="156"/>
      </w:pPr>
      <w:r>
        <w:rPr>
          <w:rFonts w:hint="eastAsia"/>
        </w:rPr>
        <w:t>取水量</w:t>
      </w:r>
    </w:p>
    <w:p>
      <w:pPr>
        <w:pStyle w:val="56"/>
        <w:ind w:firstLine="420"/>
      </w:pPr>
      <w:r>
        <w:rPr>
          <w:rFonts w:hint="eastAsia"/>
        </w:rPr>
        <w:t>取水量是指用水户从各种水源或不同蓄水、引水、调水、供水工程获取的以及用水户从市场购得的其他水或水的产品（如蒸汽、热水），并被该用水户第一次利用的水量。其中，各种水源包括地表水（含集蓄雨水）、地下水（含地下热水）、客水</w:t>
      </w:r>
      <w:r>
        <w:rPr>
          <w:rFonts w:hint="eastAsia" w:hAnsi="宋体"/>
        </w:rPr>
        <w:t>（</w:t>
      </w:r>
      <w:r>
        <w:rPr>
          <w:rFonts w:hint="eastAsia"/>
        </w:rPr>
        <w:t>过境水、引黄水、引江水）等。不同蓄水、引水、调水、供水工程包括水库工程、闸坝蓄水工程、输供水工程、引调水工程及城镇供水工程。</w:t>
      </w:r>
    </w:p>
    <w:p>
      <w:pPr>
        <w:pStyle w:val="65"/>
        <w:spacing w:before="156" w:after="156"/>
      </w:pPr>
      <w:r>
        <w:rPr>
          <w:rFonts w:hint="eastAsia"/>
        </w:rPr>
        <w:t>取水量供给范围</w:t>
      </w:r>
    </w:p>
    <w:p>
      <w:pPr>
        <w:pStyle w:val="56"/>
        <w:ind w:firstLine="420"/>
      </w:pPr>
      <w:bookmarkStart w:id="39" w:name="_Hlk87374120"/>
      <w:r>
        <w:rPr>
          <w:rFonts w:hint="eastAsia"/>
        </w:rPr>
        <w:t>取水量供给范围包括与提供相关服务有直接关系的总取水量</w:t>
      </w:r>
      <w:bookmarkEnd w:id="39"/>
      <w:r>
        <w:rPr>
          <w:rFonts w:hint="eastAsia"/>
        </w:rPr>
        <w:t>。见表1。</w:t>
      </w:r>
    </w:p>
    <w:p>
      <w:pPr>
        <w:pStyle w:val="112"/>
        <w:spacing w:before="156" w:after="156"/>
        <w:ind w:left="0"/>
      </w:pPr>
      <w:r>
        <w:rPr>
          <w:rFonts w:hint="eastAsia"/>
        </w:rPr>
        <w:t>山东省教育、卫生等服务业取水量供给范围</w:t>
      </w:r>
    </w:p>
    <w:tbl>
      <w:tblPr>
        <w:tblStyle w:val="26"/>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4"/>
        <w:gridCol w:w="3938"/>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1304" w:type="pct"/>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用水类别</w:t>
            </w:r>
          </w:p>
        </w:tc>
        <w:tc>
          <w:tcPr>
            <w:tcW w:w="2100" w:type="pct"/>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取水量供给范围</w:t>
            </w:r>
          </w:p>
        </w:tc>
        <w:tc>
          <w:tcPr>
            <w:tcW w:w="1596" w:type="pct"/>
            <w:tcBorders>
              <w:top w:val="single" w:color="auto" w:sz="4" w:space="0"/>
            </w:tcBorders>
            <w:shd w:val="clear" w:color="auto" w:fill="auto"/>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幼儿园（无住宿）</w:t>
            </w:r>
          </w:p>
        </w:tc>
        <w:tc>
          <w:tcPr>
            <w:tcW w:w="2100" w:type="pc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包括教学楼、办公楼、食堂、体育场馆、图书馆、景观绿化、附属设备等与办学相关的用水量</w:t>
            </w:r>
          </w:p>
        </w:tc>
        <w:tc>
          <w:tcPr>
            <w:tcW w:w="1596" w:type="pct"/>
            <w:shd w:val="clear" w:color="auto" w:fill="auto"/>
            <w:vAlign w:val="center"/>
          </w:tcPr>
          <w:p>
            <w:pPr>
              <w:spacing w:line="240" w:lineRule="auto"/>
              <w:ind w:firstLine="180" w:firstLineChars="100"/>
              <w:jc w:val="center"/>
              <w:rPr>
                <w:rFonts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初等教育学校（有住宿）</w:t>
            </w:r>
          </w:p>
        </w:tc>
        <w:tc>
          <w:tcPr>
            <w:tcW w:w="2100" w:type="pc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包括教学楼、办公楼、食堂、宿舍、浴室、实验室、体育场馆、图书馆、景观绿化、附属设备等与办学相关的用水量</w:t>
            </w:r>
          </w:p>
        </w:tc>
        <w:tc>
          <w:tcPr>
            <w:tcW w:w="1596" w:type="pct"/>
            <w:vMerge w:val="restart"/>
            <w:vAlign w:val="center"/>
          </w:tcPr>
          <w:p>
            <w:pPr>
              <w:spacing w:line="240" w:lineRule="auto"/>
              <w:ind w:firstLine="180" w:firstLineChars="100"/>
              <w:rPr>
                <w:rFonts w:ascii="宋体" w:hAnsi="宋体"/>
                <w:sz w:val="18"/>
                <w:szCs w:val="18"/>
              </w:rPr>
            </w:pPr>
            <w:r>
              <w:rPr>
                <w:rFonts w:hint="eastAsia" w:ascii="宋体" w:hAnsi="宋体"/>
                <w:sz w:val="18"/>
                <w:szCs w:val="18"/>
              </w:rPr>
              <w:t>不包括附属的子弟学校、家属区、宾馆、招待所、对外培训、游泳池以及水工和化工类实验室等用水量和外供水量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初等教育学校（无住宿）</w:t>
            </w:r>
          </w:p>
        </w:tc>
        <w:tc>
          <w:tcPr>
            <w:tcW w:w="2100" w:type="pc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包括教学楼、办公楼、食堂、实验室、体育场馆、图书馆、景观绿化、附属设备等与办学相关的用水量</w:t>
            </w: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中等教育学校（有住宿）</w:t>
            </w:r>
          </w:p>
        </w:tc>
        <w:tc>
          <w:tcPr>
            <w:tcW w:w="2100" w:type="pct"/>
            <w:vMerge w:val="restar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包括教学楼、办公楼、食堂、宿舍、浴室、实验室、体育场馆、图书馆、景观绿化、附属设备等与办学相关的用水量</w:t>
            </w: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高等院校</w:t>
            </w:r>
          </w:p>
        </w:tc>
        <w:tc>
          <w:tcPr>
            <w:tcW w:w="2100" w:type="pct"/>
            <w:vMerge w:val="continue"/>
            <w:shd w:val="clear" w:color="auto" w:fill="auto"/>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特殊教育学校</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职业技能培训学校</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三级医院</w:t>
            </w:r>
          </w:p>
        </w:tc>
        <w:tc>
          <w:tcPr>
            <w:tcW w:w="2100" w:type="pct"/>
            <w:vMerge w:val="restar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包括住院部、医技部、教学科研、后勤、行政管理等用水量</w:t>
            </w:r>
          </w:p>
        </w:tc>
        <w:tc>
          <w:tcPr>
            <w:tcW w:w="1596" w:type="pct"/>
            <w:vMerge w:val="restar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不包括洗衣、制药、试验用水量及家属区、宿舍、幼儿园、招待所等用水量和外供水量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二级医院</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一级医院</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图书馆、档案馆</w:t>
            </w:r>
          </w:p>
        </w:tc>
        <w:tc>
          <w:tcPr>
            <w:tcW w:w="2100" w:type="pct"/>
            <w:vMerge w:val="restart"/>
            <w:vAlign w:val="center"/>
          </w:tcPr>
          <w:p>
            <w:pPr>
              <w:spacing w:line="240" w:lineRule="auto"/>
              <w:ind w:firstLine="180" w:firstLineChars="100"/>
              <w:rPr>
                <w:rFonts w:ascii="宋体" w:hAnsi="宋体"/>
                <w:sz w:val="18"/>
                <w:szCs w:val="18"/>
              </w:rPr>
            </w:pPr>
            <w:r>
              <w:rPr>
                <w:rFonts w:hint="eastAsia" w:ascii="宋体" w:hAnsi="宋体"/>
                <w:sz w:val="18"/>
                <w:szCs w:val="18"/>
              </w:rPr>
              <w:t>包括办公、观众/读者、场地清洁卫生、空调补水、洗手间、景观绿化等与科技文化场馆服务相关的用水量</w:t>
            </w:r>
          </w:p>
        </w:tc>
        <w:tc>
          <w:tcPr>
            <w:tcW w:w="1596" w:type="pct"/>
            <w:vMerge w:val="restar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不包括长期开设室外项目，科技文化场馆内其他餐饮、娱乐等用水量和外供水量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博物馆</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纪念馆</w:t>
            </w:r>
          </w:p>
        </w:tc>
        <w:tc>
          <w:tcPr>
            <w:tcW w:w="2100" w:type="pct"/>
            <w:vMerge w:val="continue"/>
            <w:vAlign w:val="center"/>
          </w:tcPr>
          <w:p>
            <w:pPr>
              <w:spacing w:line="240" w:lineRule="auto"/>
              <w:ind w:firstLine="180" w:firstLineChars="100"/>
              <w:rPr>
                <w:rFonts w:ascii="宋体" w:hAnsi="宋体"/>
                <w:sz w:val="18"/>
                <w:szCs w:val="18"/>
              </w:rPr>
            </w:pPr>
          </w:p>
        </w:tc>
        <w:tc>
          <w:tcPr>
            <w:tcW w:w="1596" w:type="pct"/>
            <w:vMerge w:val="continue"/>
            <w:vAlign w:val="center"/>
          </w:tcPr>
          <w:p>
            <w:pPr>
              <w:spacing w:line="240" w:lineRule="auto"/>
              <w:ind w:firstLine="180" w:firstLineChars="100"/>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304" w:type="pct"/>
            <w:shd w:val="clear" w:color="auto" w:fill="auto"/>
            <w:vAlign w:val="center"/>
          </w:tcPr>
          <w:p>
            <w:pPr>
              <w:spacing w:line="240" w:lineRule="auto"/>
              <w:jc w:val="center"/>
              <w:rPr>
                <w:rFonts w:ascii="宋体" w:hAnsi="宋体"/>
                <w:sz w:val="18"/>
                <w:szCs w:val="18"/>
              </w:rPr>
            </w:pPr>
            <w:bookmarkStart w:id="40" w:name="_Hlk87369558"/>
            <w:r>
              <w:rPr>
                <w:rFonts w:hint="eastAsia" w:ascii="宋体" w:hAnsi="宋体"/>
                <w:sz w:val="18"/>
                <w:szCs w:val="18"/>
              </w:rPr>
              <w:t>机关</w:t>
            </w:r>
          </w:p>
        </w:tc>
        <w:tc>
          <w:tcPr>
            <w:tcW w:w="2100" w:type="pct"/>
            <w:shd w:val="clear" w:color="auto" w:fill="auto"/>
            <w:vAlign w:val="center"/>
          </w:tcPr>
          <w:p>
            <w:pPr>
              <w:spacing w:line="240" w:lineRule="auto"/>
              <w:ind w:firstLine="180" w:firstLineChars="100"/>
              <w:rPr>
                <w:rFonts w:ascii="宋体" w:hAnsi="宋体"/>
                <w:sz w:val="18"/>
                <w:szCs w:val="18"/>
              </w:rPr>
            </w:pPr>
            <w:r>
              <w:rPr>
                <w:rFonts w:hint="eastAsia" w:ascii="宋体" w:hAnsi="宋体"/>
                <w:sz w:val="18"/>
                <w:szCs w:val="18"/>
              </w:rPr>
              <w:t>包括办公楼、食堂、浴室、锅炉、空调、集体宿舍和绿化等与机关服务相关的用水量</w:t>
            </w:r>
          </w:p>
        </w:tc>
        <w:tc>
          <w:tcPr>
            <w:tcW w:w="1596" w:type="pct"/>
            <w:shd w:val="clear" w:color="auto" w:fill="auto"/>
            <w:vAlign w:val="center"/>
          </w:tcPr>
          <w:p>
            <w:pPr>
              <w:spacing w:line="240" w:lineRule="auto"/>
              <w:ind w:firstLine="180" w:firstLineChars="100"/>
              <w:rPr>
                <w:rFonts w:ascii="宋体" w:hAnsi="宋体"/>
                <w:sz w:val="18"/>
                <w:szCs w:val="18"/>
              </w:rPr>
            </w:pPr>
            <w:bookmarkStart w:id="41" w:name="_Hlk87369570"/>
            <w:r>
              <w:rPr>
                <w:rFonts w:hint="eastAsia" w:ascii="宋体" w:hAnsi="宋体"/>
                <w:sz w:val="18"/>
                <w:szCs w:val="18"/>
              </w:rPr>
              <w:t>不包括对外服务的政务大厅、附属的宾馆、招待所、学校等用水量和外供水量</w:t>
            </w:r>
            <w:bookmarkEnd w:id="41"/>
          </w:p>
        </w:tc>
      </w:tr>
      <w:bookmarkEnd w:id="40"/>
    </w:tbl>
    <w:p>
      <w:pPr>
        <w:pStyle w:val="65"/>
        <w:spacing w:before="156" w:after="156"/>
      </w:pPr>
      <w:r>
        <w:rPr>
          <w:rFonts w:hint="eastAsia"/>
        </w:rPr>
        <w:t>各种水量的计量</w:t>
      </w:r>
    </w:p>
    <w:p>
      <w:pPr>
        <w:pStyle w:val="56"/>
        <w:ind w:firstLine="420"/>
      </w:pPr>
      <w:r>
        <w:rPr>
          <w:rFonts w:hint="eastAsia"/>
        </w:rPr>
        <w:t>取水量、外购水量以服务业的一级或二级计量表计量为准。</w:t>
      </w:r>
    </w:p>
    <w:p>
      <w:pPr>
        <w:pStyle w:val="105"/>
        <w:spacing w:before="156" w:after="156"/>
      </w:pPr>
      <w:r>
        <w:rPr>
          <w:rFonts w:hint="eastAsia"/>
        </w:rPr>
        <w:t>教育、卫生等服务业单位用水量计算方法</w:t>
      </w:r>
    </w:p>
    <w:p>
      <w:pPr>
        <w:pStyle w:val="65"/>
        <w:spacing w:before="156" w:after="156"/>
      </w:pPr>
      <w:r>
        <w:rPr>
          <w:rFonts w:hint="eastAsia"/>
        </w:rPr>
        <w:t>教育业单位用水量</w:t>
      </w:r>
    </w:p>
    <w:p>
      <w:pPr>
        <w:pStyle w:val="94"/>
        <w:spacing w:before="156" w:after="156"/>
      </w:pPr>
      <w:r>
        <w:rPr>
          <w:rFonts w:hint="eastAsia"/>
        </w:rPr>
        <w:t>标准人数</w:t>
      </w:r>
    </w:p>
    <w:p>
      <w:pPr>
        <w:pStyle w:val="56"/>
        <w:ind w:firstLine="420"/>
      </w:pPr>
      <w:r>
        <w:rPr>
          <w:rFonts w:hint="eastAsia"/>
        </w:rPr>
        <w:t>学校各类人员按照不同用水行为特征折算成的标准类型用水人数，高等院校标准人数按式</w:t>
      </w:r>
      <w:r>
        <w:rPr>
          <w:rFonts w:hint="eastAsia" w:hAnsi="宋体"/>
        </w:rPr>
        <w:t>（</w:t>
      </w:r>
      <w:r>
        <w:rPr>
          <w:rFonts w:hAnsi="宋体"/>
        </w:rPr>
        <w:t>1</w:t>
      </w:r>
      <w:r>
        <w:rPr>
          <w:rFonts w:hint="eastAsia" w:hAnsi="宋体"/>
        </w:rPr>
        <w:t>）</w:t>
      </w:r>
      <w:r>
        <w:rPr>
          <w:rFonts w:hint="eastAsia"/>
        </w:rPr>
        <w:t>计算：</w:t>
      </w:r>
    </w:p>
    <w:p>
      <w:pPr>
        <w:pStyle w:val="113"/>
      </w:pPr>
      <w:r>
        <w:tab/>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u</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u2</m:t>
            </m:r>
            <m:ctrlPr>
              <w:rPr>
                <w:rFonts w:ascii="Cambria Math" w:hAnsi="Cambria Math"/>
                <w:i/>
              </w:rPr>
            </m:ctrlPr>
          </m:sub>
        </m:sSub>
        <m:r>
          <m:rPr/>
          <w:rPr>
            <w:rFonts w:ascii="Cambria Math" w:hAnsi="Cambria Math"/>
          </w:rPr>
          <m:t>+0.5×</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u3</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pPr>
        <w:snapToGrid w:val="0"/>
        <w:spacing w:line="240" w:lineRule="auto"/>
        <w:ind w:right="1050" w:firstLine="4200" w:firstLineChars="2000"/>
        <w:rPr>
          <w:color w:val="000000" w:themeColor="text1"/>
        </w:rPr>
      </w:pPr>
    </w:p>
    <w:p>
      <w:pPr>
        <w:pStyle w:val="56"/>
        <w:ind w:firstLine="420"/>
      </w:pPr>
      <w:r>
        <w:rPr>
          <w:rFonts w:hint="eastAsia"/>
        </w:rPr>
        <w:t>式中：</w:t>
      </w:r>
    </w:p>
    <w:p>
      <w:pPr>
        <w:pStyle w:val="56"/>
        <w:ind w:firstLine="420"/>
        <w:rPr>
          <w:rFonts w:hAnsi="宋体"/>
        </w:rPr>
      </w:pPr>
      <w:r>
        <w:rPr>
          <w:rFonts w:hAnsi="宋体"/>
          <w:i/>
        </w:rPr>
        <w:t>N</w:t>
      </w:r>
      <w:r>
        <w:rPr>
          <w:rFonts w:hAnsi="宋体"/>
          <w:i/>
          <w:vertAlign w:val="subscript"/>
        </w:rPr>
        <w:t>u</w:t>
      </w:r>
      <w:r>
        <w:rPr>
          <w:rFonts w:hint="eastAsia" w:hAnsi="宋体"/>
          <w:i/>
          <w:vertAlign w:val="subscript"/>
        </w:rPr>
        <w:t xml:space="preserve"> </w:t>
      </w:r>
      <w:r>
        <w:rPr>
          <w:rFonts w:hint="eastAsia" w:hAnsi="宋体"/>
        </w:rPr>
        <w:t>——高等院校标准人数，单位为人；</w:t>
      </w:r>
    </w:p>
    <w:p>
      <w:pPr>
        <w:pStyle w:val="56"/>
        <w:ind w:firstLine="420"/>
        <w:rPr>
          <w:rFonts w:hAnsi="宋体"/>
        </w:rPr>
      </w:pPr>
      <w:r>
        <w:rPr>
          <w:rFonts w:hint="eastAsia" w:hAnsi="宋体"/>
          <w:i/>
        </w:rPr>
        <w:t>N</w:t>
      </w:r>
      <w:r>
        <w:rPr>
          <w:rFonts w:hint="eastAsia" w:hAnsi="宋体"/>
          <w:i/>
          <w:vertAlign w:val="subscript"/>
        </w:rPr>
        <w:t>u</w:t>
      </w:r>
      <w:r>
        <w:rPr>
          <w:rFonts w:hint="eastAsia" w:hAnsi="宋体"/>
          <w:vertAlign w:val="subscript"/>
        </w:rPr>
        <w:t>1</w:t>
      </w:r>
      <w:r>
        <w:rPr>
          <w:rFonts w:hint="eastAsia" w:hAnsi="宋体"/>
        </w:rPr>
        <w:t>——全日制统招生人数，单位为人；</w:t>
      </w:r>
    </w:p>
    <w:p>
      <w:pPr>
        <w:pStyle w:val="56"/>
        <w:ind w:firstLine="420"/>
        <w:rPr>
          <w:rFonts w:hAnsi="宋体"/>
        </w:rPr>
      </w:pPr>
      <w:r>
        <w:rPr>
          <w:rFonts w:hint="eastAsia" w:hAnsi="宋体"/>
          <w:i/>
        </w:rPr>
        <w:t>N</w:t>
      </w:r>
      <w:r>
        <w:rPr>
          <w:rFonts w:hint="eastAsia" w:hAnsi="宋体"/>
          <w:i/>
          <w:vertAlign w:val="subscript"/>
        </w:rPr>
        <w:t>u</w:t>
      </w:r>
      <w:r>
        <w:rPr>
          <w:rFonts w:hint="eastAsia" w:hAnsi="宋体"/>
          <w:vertAlign w:val="subscript"/>
        </w:rPr>
        <w:t>2</w:t>
      </w:r>
      <w:r>
        <w:rPr>
          <w:rFonts w:hint="eastAsia" w:hAnsi="宋体"/>
        </w:rPr>
        <w:t>——留学生人数，单位为人；</w:t>
      </w:r>
    </w:p>
    <w:p>
      <w:pPr>
        <w:pStyle w:val="56"/>
        <w:ind w:firstLine="420"/>
        <w:rPr>
          <w:rFonts w:hAnsi="宋体"/>
        </w:rPr>
      </w:pPr>
      <w:r>
        <w:rPr>
          <w:rFonts w:hint="eastAsia" w:hAnsi="宋体"/>
          <w:i/>
        </w:rPr>
        <w:t>N</w:t>
      </w:r>
      <w:r>
        <w:rPr>
          <w:rFonts w:hint="eastAsia" w:hAnsi="宋体"/>
          <w:i/>
          <w:vertAlign w:val="subscript"/>
        </w:rPr>
        <w:t>u</w:t>
      </w:r>
      <w:r>
        <w:rPr>
          <w:rFonts w:hint="eastAsia" w:hAnsi="宋体"/>
          <w:vertAlign w:val="subscript"/>
        </w:rPr>
        <w:t>3</w:t>
      </w:r>
      <w:r>
        <w:rPr>
          <w:rFonts w:hint="eastAsia" w:hAnsi="宋体"/>
        </w:rPr>
        <w:t>——教职工人数（在编在岗教职工和工作时间超过半年的非在编人员），单位为人。</w:t>
      </w:r>
    </w:p>
    <w:p>
      <w:pPr>
        <w:pStyle w:val="56"/>
        <w:ind w:firstLine="420"/>
      </w:pPr>
      <w:r>
        <w:rPr>
          <w:rFonts w:hint="eastAsia"/>
        </w:rPr>
        <w:t>中等教育学校、初等教育学校及幼儿园标准人数按式</w:t>
      </w:r>
      <w:r>
        <w:rPr>
          <w:rFonts w:hint="eastAsia" w:hAnsi="宋体"/>
        </w:rPr>
        <w:t>（</w:t>
      </w:r>
      <w:r>
        <w:rPr>
          <w:rFonts w:hAnsi="宋体"/>
        </w:rPr>
        <w:t>2</w:t>
      </w:r>
      <w:r>
        <w:rPr>
          <w:rFonts w:hint="eastAsia" w:hAnsi="宋体"/>
        </w:rPr>
        <w:t>）</w:t>
      </w:r>
      <w:r>
        <w:rPr>
          <w:rFonts w:hint="eastAsia"/>
        </w:rPr>
        <w:t>计算：</w:t>
      </w:r>
    </w:p>
    <w:p>
      <w:pPr>
        <w:pStyle w:val="113"/>
      </w:pPr>
      <w:r>
        <w:tab/>
      </w:r>
      <m:oMath>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m:t>
            </m:r>
            <m:ctrlPr>
              <w:rPr>
                <w:rFonts w:ascii="Cambria Math" w:hAnsi="Cambria Math"/>
              </w:rPr>
            </m:ctrlPr>
          </m:sub>
        </m:sSub>
        <m:r>
          <m:rPr>
            <m:sty m:val="p"/>
          </m:rPr>
          <w:rPr>
            <w:rFonts w:hint="eastAsia" w:ascii="Cambria Math" w:hAnsi="Cambria Math"/>
          </w:rPr>
          <m:t>=</m:t>
        </m:r>
        <m:sSub>
          <m:sSubPr>
            <m:ctrlPr>
              <w:rPr>
                <w:rFonts w:ascii="Cambria Math" w:hAnsi="Cambria Math"/>
              </w:rPr>
            </m:ctrlPr>
          </m:sSubPr>
          <m:e>
            <m:r>
              <m:rPr/>
              <w:rPr>
                <w:rFonts w:ascii="Cambria Math" w:hAnsi="Cambria Math"/>
              </w:rPr>
              <m:t>N</m:t>
            </m:r>
            <m:ctrlPr>
              <w:rPr>
                <w:rFonts w:ascii="Cambria Math" w:hAnsi="Cambria Math"/>
              </w:rPr>
            </m:ctrlPr>
          </m:e>
          <m:sub>
            <m:r>
              <m:rPr/>
              <w:rPr>
                <w:rFonts w:ascii="Cambria Math" w:hAnsi="Cambria Math"/>
              </w:rPr>
              <m:t>s1</m:t>
            </m:r>
            <m:ctrlPr>
              <w:rPr>
                <w:rFonts w:ascii="Cambria Math" w:hAnsi="Cambria Math"/>
              </w:rPr>
            </m:ctrlPr>
          </m:sub>
        </m:sSub>
        <m:r>
          <m:rPr/>
          <w:rPr>
            <w:rFonts w:ascii="Cambria Math" w:hAnsi="Cambria Math"/>
          </w:rPr>
          <m:t>+2×</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s3</m:t>
            </m:r>
            <m:ctrlPr>
              <w:rPr>
                <w:rFonts w:ascii="Cambria Math" w:hAnsi="Cambria Math"/>
                <w:i/>
              </w:rPr>
            </m:ctrlPr>
          </m:sub>
        </m:sSub>
      </m:oMath>
      <w:r>
        <w:rPr>
          <w:rFonts w:ascii="微软雅黑" w:hAnsi="微软雅黑" w:eastAsia="微软雅黑"/>
        </w:rPr>
        <w:tab/>
      </w:r>
      <w:r>
        <w:t>(</w:t>
      </w:r>
      <w:r>
        <w:fldChar w:fldCharType="begin"/>
      </w:r>
      <w:r>
        <w:instrText xml:space="preserve"> AUTONUM </w:instrText>
      </w:r>
      <w:r>
        <w:fldChar w:fldCharType="end"/>
      </w:r>
      <w:r>
        <w:t>)</w:t>
      </w:r>
    </w:p>
    <w:p>
      <w:pPr>
        <w:pStyle w:val="55"/>
        <w:ind w:firstLine="420"/>
      </w:pPr>
      <w:r>
        <w:rPr>
          <w:rFonts w:hint="eastAsia"/>
        </w:rPr>
        <w:t>式中：</w:t>
      </w:r>
    </w:p>
    <w:p>
      <w:pPr>
        <w:pStyle w:val="56"/>
        <w:ind w:firstLine="420"/>
        <w:rPr>
          <w:rFonts w:hAnsi="宋体"/>
        </w:rPr>
      </w:pPr>
      <w:r>
        <w:rPr>
          <w:rFonts w:hAnsi="宋体"/>
          <w:i/>
        </w:rPr>
        <w:t>N</w:t>
      </w:r>
      <w:r>
        <w:rPr>
          <w:rFonts w:hAnsi="宋体"/>
          <w:i/>
          <w:vertAlign w:val="subscript"/>
        </w:rPr>
        <w:t>s</w:t>
      </w:r>
      <w:r>
        <w:rPr>
          <w:rFonts w:hint="eastAsia" w:hAnsi="宋体"/>
          <w:i/>
          <w:vertAlign w:val="subscript"/>
        </w:rPr>
        <w:t xml:space="preserve"> </w:t>
      </w:r>
      <w:r>
        <w:rPr>
          <w:rFonts w:hint="eastAsia" w:hAnsi="宋体"/>
        </w:rPr>
        <w:t>——中等教育学校、初等教育学校及幼儿园标准人数，单位为人；</w:t>
      </w:r>
    </w:p>
    <w:p>
      <w:pPr>
        <w:pStyle w:val="56"/>
        <w:ind w:firstLine="420"/>
        <w:rPr>
          <w:rFonts w:hAnsi="宋体"/>
        </w:rPr>
      </w:pPr>
      <w:r>
        <w:rPr>
          <w:rFonts w:hAnsi="宋体"/>
          <w:i/>
        </w:rPr>
        <w:t>N</w:t>
      </w:r>
      <w:r>
        <w:rPr>
          <w:rFonts w:hAnsi="宋体"/>
          <w:i/>
          <w:vertAlign w:val="subscript"/>
        </w:rPr>
        <w:t>s</w:t>
      </w:r>
      <w:r>
        <w:rPr>
          <w:rFonts w:hint="eastAsia" w:hAnsi="宋体"/>
          <w:vertAlign w:val="subscript"/>
        </w:rPr>
        <w:t>1</w:t>
      </w:r>
      <w:r>
        <w:rPr>
          <w:rFonts w:hint="eastAsia" w:hAnsi="宋体"/>
        </w:rPr>
        <w:t>——非住宿生人数，单位为人；</w:t>
      </w:r>
    </w:p>
    <w:p>
      <w:pPr>
        <w:pStyle w:val="56"/>
        <w:ind w:firstLine="420"/>
        <w:rPr>
          <w:rFonts w:hAnsi="宋体"/>
        </w:rPr>
      </w:pPr>
      <w:r>
        <w:rPr>
          <w:rFonts w:hint="eastAsia" w:hAnsi="宋体"/>
          <w:i/>
        </w:rPr>
        <w:t>N</w:t>
      </w:r>
      <w:r>
        <w:rPr>
          <w:rFonts w:hint="eastAsia" w:hAnsi="宋体"/>
          <w:i/>
          <w:vertAlign w:val="subscript"/>
        </w:rPr>
        <w:t>s</w:t>
      </w:r>
      <w:r>
        <w:rPr>
          <w:rFonts w:hint="eastAsia" w:hAnsi="宋体"/>
          <w:vertAlign w:val="subscript"/>
        </w:rPr>
        <w:t>2</w:t>
      </w:r>
      <w:r>
        <w:rPr>
          <w:rFonts w:hint="eastAsia" w:hAnsi="宋体"/>
        </w:rPr>
        <w:t>——住宿生人数，单位为人；</w:t>
      </w:r>
    </w:p>
    <w:p>
      <w:pPr>
        <w:pStyle w:val="56"/>
        <w:ind w:firstLine="420"/>
        <w:rPr>
          <w:rFonts w:hAnsi="宋体"/>
        </w:rPr>
      </w:pPr>
      <w:r>
        <w:rPr>
          <w:rFonts w:hint="eastAsia" w:hAnsi="宋体"/>
          <w:i/>
        </w:rPr>
        <w:t>N</w:t>
      </w:r>
      <w:r>
        <w:rPr>
          <w:rFonts w:hint="eastAsia" w:hAnsi="宋体"/>
          <w:i/>
          <w:vertAlign w:val="subscript"/>
        </w:rPr>
        <w:t>s</w:t>
      </w:r>
      <w:r>
        <w:rPr>
          <w:rFonts w:hint="eastAsia" w:hAnsi="宋体"/>
          <w:vertAlign w:val="subscript"/>
        </w:rPr>
        <w:t>3</w:t>
      </w:r>
      <w:r>
        <w:rPr>
          <w:rFonts w:hint="eastAsia" w:hAnsi="宋体"/>
        </w:rPr>
        <w:t>——教职工人数（在编在岗教职工和工作时间超过半年的非在编人员），单位为人。</w:t>
      </w:r>
    </w:p>
    <w:p>
      <w:pPr>
        <w:pStyle w:val="94"/>
        <w:spacing w:before="156" w:after="156"/>
      </w:pPr>
      <w:r>
        <w:rPr>
          <w:rFonts w:hint="eastAsia"/>
        </w:rPr>
        <w:t>单位标准人数用水量</w:t>
      </w:r>
    </w:p>
    <w:p>
      <w:pPr>
        <w:pStyle w:val="56"/>
        <w:ind w:firstLine="420"/>
        <w:rPr>
          <w:rFonts w:hAnsi="宋体"/>
        </w:rPr>
      </w:pPr>
      <w:r>
        <w:rPr>
          <w:rFonts w:hint="eastAsia" w:hAnsi="宋体"/>
        </w:rPr>
        <w:t>单位时间内，按学校标准人数核算的人均用水量，高等院校按</w:t>
      </w:r>
      <w:r>
        <w:rPr>
          <w:rFonts w:hAnsi="宋体"/>
        </w:rPr>
        <w:t>式（3）</w:t>
      </w:r>
      <w:r>
        <w:rPr>
          <w:rFonts w:hint="eastAsia" w:hAnsi="宋体"/>
        </w:rPr>
        <w:t>计算，中等教育学校、初等教育学校、幼儿园按</w:t>
      </w:r>
      <w:r>
        <w:rPr>
          <w:rFonts w:hAnsi="宋体"/>
        </w:rPr>
        <w:t>式（4）</w:t>
      </w:r>
      <w:r>
        <w:rPr>
          <w:rFonts w:hint="eastAsia" w:hAnsi="宋体"/>
        </w:rPr>
        <w:t>计算：</w:t>
      </w:r>
    </w:p>
    <w:p>
      <w:pPr>
        <w:pStyle w:val="113"/>
      </w:pPr>
      <w:r>
        <w:tab/>
      </w:r>
      <m:oMath>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w:rPr>
                <w:rFonts w:ascii="Cambria Math" w:hAnsi="Cambria Math"/>
                <w:sz w:val="24"/>
              </w:rPr>
              <m:t>u</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w:rPr>
                    <w:rFonts w:ascii="Cambria Math" w:hAnsi="Cambria Math"/>
                    <w:sz w:val="24"/>
                  </w:rPr>
                  <m:t>u</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u</m:t>
                </m:r>
                <m:ctrlPr>
                  <w:rPr>
                    <w:rFonts w:ascii="Cambria Math" w:hAnsi="Cambria Math"/>
                    <w:i/>
                    <w:sz w:val="24"/>
                  </w:rPr>
                </m:ctrlPr>
              </m:sub>
            </m:sSub>
            <m:ctrlPr>
              <w:rPr>
                <w:rFonts w:ascii="Cambria Math" w:hAnsi="Cambria Math"/>
                <w:sz w:val="24"/>
              </w:rPr>
            </m:ctrlPr>
          </m:den>
        </m:f>
      </m:oMath>
      <w:r>
        <w:rPr>
          <w:rFonts w:ascii="微软雅黑" w:hAnsi="微软雅黑" w:eastAsia="微软雅黑"/>
        </w:rPr>
        <w:tab/>
      </w:r>
      <w:r>
        <w:t>(</w:t>
      </w:r>
      <w:r>
        <w:fldChar w:fldCharType="begin"/>
      </w:r>
      <w:r>
        <w:instrText xml:space="preserve"> AUTONUM </w:instrText>
      </w:r>
      <w:r>
        <w:fldChar w:fldCharType="end"/>
      </w:r>
      <w:r>
        <w:t>)</w:t>
      </w:r>
    </w:p>
    <w:p>
      <w:pPr>
        <w:pStyle w:val="113"/>
      </w:pPr>
      <w:r>
        <w:tab/>
      </w:r>
      <m:oMath>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w:rPr>
                <w:rFonts w:ascii="Cambria Math" w:hAnsi="Cambria Math"/>
                <w:sz w:val="24"/>
              </w:rPr>
              <m:t>s</m:t>
            </m:r>
            <m:ctrlPr>
              <w:rPr>
                <w:rFonts w:ascii="Cambria Math" w:hAnsi="Cambria Math"/>
                <w:sz w:val="24"/>
              </w:rPr>
            </m:ctrlPr>
          </m:sub>
        </m:sSub>
        <m:r>
          <m:rPr>
            <m:sty m:val="p"/>
          </m:rP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m:rPr/>
                  <w:rPr>
                    <w:rFonts w:ascii="Cambria Math" w:hAnsi="Cambria Math"/>
                    <w:sz w:val="24"/>
                  </w:rPr>
                  <m:t>W</m:t>
                </m:r>
                <m:ctrlPr>
                  <w:rPr>
                    <w:rFonts w:ascii="Cambria Math" w:hAnsi="Cambria Math"/>
                    <w:i/>
                    <w:sz w:val="24"/>
                  </w:rPr>
                </m:ctrlPr>
              </m:e>
              <m:sub>
                <m:r>
                  <m:rPr/>
                  <w:rPr>
                    <w:rFonts w:ascii="Cambria Math" w:hAnsi="Cambria Math"/>
                    <w:sz w:val="24"/>
                  </w:rPr>
                  <m:t>u</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s</m:t>
                </m:r>
                <m:ctrlPr>
                  <w:rPr>
                    <w:rFonts w:ascii="Cambria Math" w:hAnsi="Cambria Math"/>
                    <w:i/>
                    <w:sz w:val="24"/>
                  </w:rPr>
                </m:ctrlPr>
              </m:sub>
            </m:sSub>
            <m:ctrlPr>
              <w:rPr>
                <w:rFonts w:ascii="Cambria Math" w:hAnsi="Cambria Math"/>
                <w:sz w:val="24"/>
              </w:rPr>
            </m:ctrlPr>
          </m:den>
        </m:f>
      </m:oMath>
      <w:r>
        <w:rPr>
          <w:rFonts w:ascii="微软雅黑" w:hAnsi="微软雅黑" w:eastAsia="微软雅黑"/>
        </w:rPr>
        <w:tab/>
      </w:r>
      <w:r>
        <w:t>(</w:t>
      </w:r>
      <w:r>
        <w:fldChar w:fldCharType="begin"/>
      </w:r>
      <w:r>
        <w:instrText xml:space="preserve"> AUTONUM </w:instrText>
      </w:r>
      <w:r>
        <w:fldChar w:fldCharType="end"/>
      </w:r>
      <w:r>
        <w:t>)</w:t>
      </w:r>
    </w:p>
    <w:p>
      <w:pPr>
        <w:snapToGrid w:val="0"/>
        <w:spacing w:line="240" w:lineRule="auto"/>
        <w:ind w:firstLine="420" w:firstLineChars="200"/>
      </w:pPr>
      <w:r>
        <w:rPr>
          <w:rFonts w:hint="eastAsia"/>
        </w:rPr>
        <w:t>式中：</w:t>
      </w:r>
    </w:p>
    <w:p>
      <w:pPr>
        <w:pStyle w:val="56"/>
        <w:ind w:firstLine="420"/>
        <w:rPr>
          <w:rFonts w:hAnsi="宋体"/>
        </w:rPr>
      </w:pPr>
      <w:r>
        <w:rPr>
          <w:rFonts w:hint="eastAsia" w:hAnsi="宋体"/>
          <w:i/>
          <w:iCs/>
        </w:rPr>
        <w:t>V</w:t>
      </w:r>
      <w:r>
        <w:rPr>
          <w:rFonts w:hint="eastAsia" w:hAnsi="宋体"/>
          <w:i/>
          <w:iCs/>
          <w:vertAlign w:val="subscript"/>
        </w:rPr>
        <w:t>u</w:t>
      </w:r>
      <w:r>
        <w:rPr>
          <w:rFonts w:hint="eastAsia" w:hAnsi="宋体"/>
        </w:rPr>
        <w:t>——高等院校标准人数年均取水量</w:t>
      </w:r>
      <w:r>
        <w:rPr>
          <w:rFonts w:hAnsi="宋体"/>
        </w:rPr>
        <w:t>，单位为</w:t>
      </w:r>
      <w:r>
        <w:rPr>
          <w:rFonts w:hint="eastAsia" w:hAnsi="宋体"/>
        </w:rPr>
        <w:t>立方米每人年（</w:t>
      </w:r>
      <w:r>
        <w:rPr>
          <w:rFonts w:hAnsi="宋体"/>
        </w:rPr>
        <w:t>m</w:t>
      </w:r>
      <w:r>
        <w:rPr>
          <w:rFonts w:hAnsi="宋体"/>
          <w:vertAlign w:val="superscript"/>
        </w:rPr>
        <w:t>3</w:t>
      </w:r>
      <w:r>
        <w:rPr>
          <w:rFonts w:hAnsi="宋体"/>
        </w:rPr>
        <w:t>/人·a）</w:t>
      </w:r>
      <w:r>
        <w:rPr>
          <w:rFonts w:hint="eastAsia" w:hAnsi="宋体"/>
        </w:rPr>
        <w:t>；</w:t>
      </w:r>
    </w:p>
    <w:p>
      <w:pPr>
        <w:pStyle w:val="56"/>
        <w:ind w:firstLine="420"/>
        <w:rPr>
          <w:rFonts w:hAnsi="宋体"/>
          <w:iCs/>
        </w:rPr>
      </w:pPr>
      <w:r>
        <w:rPr>
          <w:rFonts w:hint="eastAsia" w:hAnsi="宋体"/>
          <w:i/>
          <w:iCs/>
        </w:rPr>
        <w:t>V</w:t>
      </w:r>
      <w:r>
        <w:rPr>
          <w:rFonts w:hint="eastAsia" w:hAnsi="宋体"/>
          <w:i/>
          <w:iCs/>
          <w:vertAlign w:val="subscript"/>
        </w:rPr>
        <w:t>s</w:t>
      </w:r>
      <w:r>
        <w:rPr>
          <w:rFonts w:hint="eastAsia" w:hAnsi="宋体"/>
          <w:iCs/>
        </w:rPr>
        <w:t>——中等教育学校、初等教育学校、学前教育标准人数年均取水量</w:t>
      </w:r>
      <w:r>
        <w:rPr>
          <w:rFonts w:hAnsi="宋体"/>
          <w:iCs/>
        </w:rPr>
        <w:t>，单位为</w:t>
      </w:r>
      <w:r>
        <w:rPr>
          <w:rFonts w:hint="eastAsia" w:hAnsi="宋体"/>
          <w:iCs/>
        </w:rPr>
        <w:t>立方米每人年</w:t>
      </w:r>
    </w:p>
    <w:p>
      <w:pPr>
        <w:pStyle w:val="56"/>
        <w:ind w:firstLine="945" w:firstLineChars="450"/>
        <w:rPr>
          <w:rFonts w:hAnsi="宋体"/>
          <w:iCs/>
        </w:rPr>
      </w:pPr>
      <w:r>
        <w:rPr>
          <w:rFonts w:hint="eastAsia" w:hAnsi="宋体"/>
          <w:iCs/>
        </w:rPr>
        <w:t>（</w:t>
      </w:r>
      <w:r>
        <w:rPr>
          <w:rFonts w:hAnsi="宋体"/>
          <w:iCs/>
        </w:rPr>
        <w:t>m</w:t>
      </w:r>
      <w:r>
        <w:rPr>
          <w:rFonts w:hAnsi="宋体"/>
          <w:iCs/>
          <w:vertAlign w:val="superscript"/>
        </w:rPr>
        <w:t>3</w:t>
      </w:r>
      <w:r>
        <w:rPr>
          <w:rFonts w:hAnsi="宋体"/>
          <w:iCs/>
        </w:rPr>
        <w:t>/人·a）</w:t>
      </w:r>
      <w:r>
        <w:rPr>
          <w:rFonts w:hint="eastAsia" w:hAnsi="宋体"/>
          <w:iCs/>
        </w:rPr>
        <w:t>；</w:t>
      </w:r>
    </w:p>
    <w:p>
      <w:pPr>
        <w:pStyle w:val="56"/>
        <w:ind w:firstLine="420"/>
        <w:rPr>
          <w:rFonts w:hAnsi="宋体"/>
          <w:iCs/>
        </w:rPr>
      </w:pPr>
      <w:r>
        <w:rPr>
          <w:rFonts w:hint="eastAsia" w:hAnsi="宋体"/>
          <w:i/>
          <w:iCs/>
        </w:rPr>
        <w:t>W</w:t>
      </w:r>
      <w:r>
        <w:rPr>
          <w:rFonts w:hint="eastAsia" w:hAnsi="宋体"/>
          <w:i/>
          <w:iCs/>
          <w:vertAlign w:val="subscript"/>
        </w:rPr>
        <w:t>u</w:t>
      </w:r>
      <w:r>
        <w:rPr>
          <w:rFonts w:hint="eastAsia" w:hAnsi="宋体"/>
          <w:iCs/>
        </w:rPr>
        <w:t>——学校年用水量，单位为</w:t>
      </w:r>
      <w:r>
        <w:rPr>
          <w:rFonts w:hAnsi="宋体"/>
          <w:iCs/>
        </w:rPr>
        <w:t>m</w:t>
      </w:r>
      <w:r>
        <w:rPr>
          <w:rFonts w:hAnsi="宋体"/>
          <w:iCs/>
          <w:vertAlign w:val="superscript"/>
        </w:rPr>
        <w:t>3</w:t>
      </w:r>
      <w:r>
        <w:rPr>
          <w:rFonts w:hAnsi="宋体"/>
          <w:iCs/>
        </w:rPr>
        <w:t>/a</w:t>
      </w:r>
      <w:r>
        <w:rPr>
          <w:rFonts w:hint="eastAsia" w:hAnsi="宋体"/>
          <w:iCs/>
        </w:rPr>
        <w:t>；</w:t>
      </w:r>
    </w:p>
    <w:p>
      <w:pPr>
        <w:pStyle w:val="56"/>
        <w:ind w:firstLine="420"/>
        <w:rPr>
          <w:rFonts w:hAnsi="宋体"/>
          <w:iCs/>
        </w:rPr>
      </w:pPr>
      <w:r>
        <w:rPr>
          <w:rFonts w:hint="eastAsia" w:hAnsi="宋体"/>
          <w:i/>
          <w:iCs/>
        </w:rPr>
        <w:t>N</w:t>
      </w:r>
      <w:r>
        <w:rPr>
          <w:rFonts w:hint="eastAsia" w:hAnsi="宋体"/>
          <w:i/>
          <w:iCs/>
          <w:vertAlign w:val="subscript"/>
        </w:rPr>
        <w:t>u</w:t>
      </w:r>
      <w:r>
        <w:rPr>
          <w:rFonts w:hint="eastAsia" w:hAnsi="宋体"/>
          <w:iCs/>
        </w:rPr>
        <w:t>——高等院校标准人数，单位为人；</w:t>
      </w:r>
    </w:p>
    <w:p>
      <w:pPr>
        <w:pStyle w:val="56"/>
        <w:ind w:firstLine="420"/>
        <w:rPr>
          <w:rFonts w:hAnsi="宋体"/>
        </w:rPr>
      </w:pPr>
      <w:r>
        <w:rPr>
          <w:rFonts w:hint="eastAsia" w:hAnsi="宋体"/>
          <w:i/>
          <w:iCs/>
        </w:rPr>
        <w:t>N</w:t>
      </w:r>
      <w:r>
        <w:rPr>
          <w:rFonts w:hint="eastAsia" w:hAnsi="宋体"/>
          <w:i/>
          <w:iCs/>
          <w:vertAlign w:val="subscript"/>
        </w:rPr>
        <w:t>s</w:t>
      </w:r>
      <w:r>
        <w:rPr>
          <w:rFonts w:hint="eastAsia" w:hAnsi="宋体"/>
        </w:rPr>
        <w:t>——中等教育学校、初等教育学校、学前教育标准人数，单位为人。</w:t>
      </w:r>
    </w:p>
    <w:p>
      <w:pPr>
        <w:pStyle w:val="65"/>
        <w:spacing w:before="156" w:after="156"/>
      </w:pPr>
      <w:r>
        <w:rPr>
          <w:rFonts w:hint="eastAsia"/>
        </w:rPr>
        <w:t>卫生业单位用水量</w:t>
      </w:r>
    </w:p>
    <w:p>
      <w:pPr>
        <w:pStyle w:val="56"/>
        <w:ind w:firstLine="420"/>
      </w:pPr>
      <w:r>
        <w:rPr>
          <w:rFonts w:hint="eastAsia"/>
        </w:rPr>
        <w:t>单位时间内，三级、二级、一级综合医院住院部的单位开放床日用水量按式</w:t>
      </w:r>
      <w:r>
        <w:rPr>
          <w:rFonts w:hint="eastAsia" w:hAnsi="宋体"/>
        </w:rPr>
        <w:t>（</w:t>
      </w:r>
      <w:r>
        <w:rPr>
          <w:rFonts w:hAnsi="宋体"/>
        </w:rPr>
        <w:t>5</w:t>
      </w:r>
      <w:r>
        <w:rPr>
          <w:rFonts w:hint="eastAsia" w:hAnsi="宋体"/>
        </w:rPr>
        <w:t>）</w:t>
      </w:r>
      <w:r>
        <w:rPr>
          <w:rFonts w:hint="eastAsia"/>
        </w:rPr>
        <w:t>计算：</w:t>
      </w:r>
    </w:p>
    <w:p>
      <w:pPr>
        <w:pStyle w:val="113"/>
      </w:pPr>
      <w:r>
        <w:tab/>
      </w:r>
      <m:oMath>
        <m:sSub>
          <m:sSubPr>
            <m:ctrlPr>
              <w:rPr>
                <w:rFonts w:ascii="Cambria Math" w:hAnsi="Cambria Math"/>
                <w:iCs/>
                <w:kern w:val="0"/>
                <w:sz w:val="24"/>
              </w:rPr>
            </m:ctrlPr>
          </m:sSubPr>
          <m:e>
            <m:r>
              <m:rPr/>
              <w:rPr>
                <w:rFonts w:ascii="Cambria Math" w:hAnsi="Cambria Math"/>
                <w:kern w:val="0"/>
                <w:sz w:val="24"/>
              </w:rPr>
              <m:t>V</m:t>
            </m:r>
            <m:ctrlPr>
              <w:rPr>
                <w:rFonts w:ascii="Cambria Math" w:hAnsi="Cambria Math"/>
                <w:iCs/>
                <w:kern w:val="0"/>
                <w:sz w:val="24"/>
              </w:rPr>
            </m:ctrlPr>
          </m:e>
          <m:sub>
            <m:r>
              <m:rPr/>
              <w:rPr>
                <w:rFonts w:ascii="Cambria Math" w:hAnsi="Cambria Math"/>
                <w:kern w:val="0"/>
                <w:sz w:val="24"/>
              </w:rPr>
              <m:t>z</m:t>
            </m:r>
            <m:ctrlPr>
              <w:rPr>
                <w:rFonts w:ascii="Cambria Math" w:hAnsi="Cambria Math"/>
                <w:iCs/>
                <w:kern w:val="0"/>
                <w:sz w:val="24"/>
              </w:rPr>
            </m:ctrlPr>
          </m:sub>
        </m:sSub>
        <m:r>
          <m:rPr>
            <m:sty m:val="p"/>
          </m:rPr>
          <w:rPr>
            <w:rFonts w:ascii="Cambria Math" w:hAnsi="Cambria Math"/>
            <w:kern w:val="0"/>
            <w:sz w:val="24"/>
          </w:rPr>
          <m:t>=</m:t>
        </m:r>
        <m:f>
          <m:fPr>
            <m:ctrlPr>
              <w:rPr>
                <w:rFonts w:ascii="Cambria Math" w:hAnsi="Cambria Math"/>
                <w:iCs/>
                <w:kern w:val="0"/>
                <w:sz w:val="24"/>
              </w:rPr>
            </m:ctrlPr>
          </m:fPr>
          <m:num>
            <m:sSub>
              <m:sSubPr>
                <m:ctrlPr>
                  <w:rPr>
                    <w:rFonts w:ascii="Cambria Math" w:hAnsi="Cambria Math"/>
                    <w:iCs/>
                    <w:kern w:val="0"/>
                    <w:sz w:val="24"/>
                  </w:rPr>
                </m:ctrlPr>
              </m:sSubPr>
              <m:e>
                <m:r>
                  <m:rPr/>
                  <w:rPr>
                    <w:rFonts w:ascii="Cambria Math" w:hAnsi="Cambria Math"/>
                    <w:kern w:val="0"/>
                    <w:sz w:val="24"/>
                  </w:rPr>
                  <m:t>W</m:t>
                </m:r>
                <m:ctrlPr>
                  <w:rPr>
                    <w:rFonts w:ascii="Cambria Math" w:hAnsi="Cambria Math"/>
                    <w:iCs/>
                    <w:kern w:val="0"/>
                    <w:sz w:val="24"/>
                  </w:rPr>
                </m:ctrlPr>
              </m:e>
              <m:sub>
                <m:r>
                  <m:rPr/>
                  <w:rPr>
                    <w:rFonts w:ascii="Cambria Math" w:hAnsi="Cambria Math"/>
                    <w:kern w:val="0"/>
                    <w:sz w:val="24"/>
                  </w:rPr>
                  <m:t>z</m:t>
                </m:r>
                <m:ctrlPr>
                  <w:rPr>
                    <w:rFonts w:ascii="Cambria Math" w:hAnsi="Cambria Math"/>
                    <w:iCs/>
                    <w:kern w:val="0"/>
                    <w:sz w:val="24"/>
                  </w:rPr>
                </m:ctrlPr>
              </m:sub>
            </m:sSub>
            <m:ctrlPr>
              <w:rPr>
                <w:rFonts w:ascii="Cambria Math" w:hAnsi="Cambria Math"/>
                <w:iCs/>
                <w:kern w:val="0"/>
                <w:sz w:val="24"/>
              </w:rPr>
            </m:ctrlPr>
          </m:num>
          <m:den>
            <m:nary>
              <m:naryPr>
                <m:chr m:val="∑"/>
                <m:limLoc m:val="undOvr"/>
                <m:ctrlPr>
                  <w:rPr>
                    <w:rFonts w:ascii="Cambria Math" w:hAnsi="Cambria Math"/>
                    <w:iCs/>
                    <w:kern w:val="0"/>
                    <w:sz w:val="24"/>
                  </w:rPr>
                </m:ctrlPr>
              </m:naryPr>
              <m:sub>
                <m:r>
                  <m:rPr/>
                  <w:rPr>
                    <w:rFonts w:ascii="Cambria Math" w:hAnsi="Cambria Math"/>
                    <w:kern w:val="0"/>
                    <w:sz w:val="24"/>
                  </w:rPr>
                  <m:t>i</m:t>
                </m:r>
                <m:r>
                  <m:rPr>
                    <m:sty m:val="p"/>
                  </m:rPr>
                  <w:rPr>
                    <w:rFonts w:ascii="Cambria Math" w:hAnsi="Cambria Math"/>
                    <w:kern w:val="0"/>
                    <w:sz w:val="24"/>
                  </w:rPr>
                  <m:t>=1</m:t>
                </m:r>
                <m:ctrlPr>
                  <w:rPr>
                    <w:rFonts w:ascii="Cambria Math" w:hAnsi="Cambria Math"/>
                    <w:iCs/>
                    <w:kern w:val="0"/>
                    <w:sz w:val="24"/>
                  </w:rPr>
                </m:ctrlPr>
              </m:sub>
              <m:sup>
                <m:r>
                  <m:rPr>
                    <m:sty m:val="p"/>
                  </m:rPr>
                  <w:rPr>
                    <w:rFonts w:ascii="Cambria Math" w:hAnsi="Cambria Math"/>
                    <w:kern w:val="0"/>
                    <w:sz w:val="24"/>
                  </w:rPr>
                  <m:t>365</m:t>
                </m:r>
                <m:ctrlPr>
                  <w:rPr>
                    <w:rFonts w:ascii="Cambria Math" w:hAnsi="Cambria Math"/>
                    <w:iCs/>
                    <w:kern w:val="0"/>
                    <w:sz w:val="24"/>
                  </w:rPr>
                </m:ctrlPr>
              </m:sup>
              <m:e>
                <m:sSub>
                  <m:sSubPr>
                    <m:ctrlPr>
                      <w:rPr>
                        <w:rFonts w:ascii="Cambria Math" w:hAnsi="Cambria Math"/>
                        <w:iCs/>
                        <w:kern w:val="0"/>
                        <w:sz w:val="24"/>
                      </w:rPr>
                    </m:ctrlPr>
                  </m:sSubPr>
                  <m:e>
                    <m:r>
                      <m:rPr/>
                      <w:rPr>
                        <w:rFonts w:ascii="Cambria Math" w:hAnsi="Cambria Math"/>
                        <w:kern w:val="0"/>
                        <w:sz w:val="24"/>
                      </w:rPr>
                      <m:t>N</m:t>
                    </m:r>
                    <m:ctrlPr>
                      <w:rPr>
                        <w:rFonts w:ascii="Cambria Math" w:hAnsi="Cambria Math"/>
                        <w:iCs/>
                        <w:kern w:val="0"/>
                        <w:sz w:val="24"/>
                      </w:rPr>
                    </m:ctrlPr>
                  </m:e>
                  <m:sub>
                    <m:r>
                      <m:rPr/>
                      <w:rPr>
                        <w:rFonts w:ascii="Cambria Math" w:hAnsi="Cambria Math"/>
                        <w:kern w:val="0"/>
                        <w:sz w:val="24"/>
                      </w:rPr>
                      <m:t>i</m:t>
                    </m:r>
                    <m:ctrlPr>
                      <w:rPr>
                        <w:rFonts w:ascii="Cambria Math" w:hAnsi="Cambria Math"/>
                        <w:iCs/>
                        <w:kern w:val="0"/>
                        <w:sz w:val="24"/>
                      </w:rPr>
                    </m:ctrlPr>
                  </m:sub>
                </m:sSub>
                <m:ctrlPr>
                  <w:rPr>
                    <w:rFonts w:ascii="Cambria Math" w:hAnsi="Cambria Math"/>
                    <w:iCs/>
                    <w:kern w:val="0"/>
                    <w:sz w:val="24"/>
                  </w:rPr>
                </m:ctrlPr>
              </m:e>
            </m:nary>
            <m:ctrlPr>
              <w:rPr>
                <w:rFonts w:ascii="Cambria Math" w:hAnsi="Cambria Math"/>
                <w:iCs/>
                <w:kern w:val="0"/>
                <w:sz w:val="24"/>
              </w:rPr>
            </m:ctrlPr>
          </m:den>
        </m:f>
        <m:r>
          <m:rPr>
            <m:sty m:val="p"/>
          </m:rPr>
          <w:rPr>
            <w:rFonts w:ascii="Cambria Math" w:hAnsi="Cambria Math"/>
            <w:kern w:val="0"/>
            <w:sz w:val="24"/>
          </w:rPr>
          <m:t>×</m:t>
        </m:r>
        <m:sSup>
          <m:sSupPr>
            <m:ctrlPr>
              <w:rPr>
                <w:rFonts w:ascii="Cambria Math" w:hAnsi="Cambria Math"/>
                <w:iCs/>
                <w:kern w:val="0"/>
                <w:sz w:val="24"/>
              </w:rPr>
            </m:ctrlPr>
          </m:sSupPr>
          <m:e>
            <m:r>
              <m:rPr>
                <m:sty m:val="p"/>
              </m:rPr>
              <w:rPr>
                <w:rFonts w:ascii="Cambria Math" w:hAnsi="Cambria Math"/>
                <w:kern w:val="0"/>
                <w:sz w:val="24"/>
              </w:rPr>
              <m:t>10</m:t>
            </m:r>
            <m:ctrlPr>
              <w:rPr>
                <w:rFonts w:ascii="Cambria Math" w:hAnsi="Cambria Math"/>
                <w:iCs/>
                <w:kern w:val="0"/>
                <w:sz w:val="24"/>
              </w:rPr>
            </m:ctrlPr>
          </m:e>
          <m:sup>
            <m:r>
              <m:rPr>
                <m:sty m:val="p"/>
              </m:rPr>
              <w:rPr>
                <w:rFonts w:ascii="Cambria Math" w:hAnsi="Cambria Math"/>
                <w:kern w:val="0"/>
                <w:sz w:val="24"/>
              </w:rPr>
              <m:t>3</m:t>
            </m:r>
            <m:ctrlPr>
              <w:rPr>
                <w:rFonts w:ascii="Cambria Math" w:hAnsi="Cambria Math"/>
                <w:iCs/>
                <w:kern w:val="0"/>
                <w:sz w:val="24"/>
              </w:rPr>
            </m:ctrlPr>
          </m:sup>
        </m:sSup>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pStyle w:val="56"/>
        <w:ind w:firstLine="420"/>
        <w:rPr>
          <w:rFonts w:hAnsi="宋体"/>
          <w:iCs/>
        </w:rPr>
      </w:pPr>
      <w:r>
        <w:rPr>
          <w:rFonts w:hint="eastAsia" w:hAnsi="宋体"/>
          <w:i/>
          <w:iCs/>
        </w:rPr>
        <w:t>V</w:t>
      </w:r>
      <w:r>
        <w:rPr>
          <w:rFonts w:hint="eastAsia" w:hAnsi="宋体"/>
          <w:i/>
          <w:iCs/>
          <w:vertAlign w:val="subscript"/>
        </w:rPr>
        <w:t>Z</w:t>
      </w:r>
      <w:r>
        <w:rPr>
          <w:rFonts w:hint="eastAsia" w:hAnsi="宋体"/>
          <w:iCs/>
        </w:rPr>
        <w:t>——三级、二级、一级综合医院住院部单位开放床日用水量，单位为</w:t>
      </w:r>
      <w:r>
        <w:rPr>
          <w:rFonts w:hAnsi="宋体"/>
          <w:iCs/>
        </w:rPr>
        <w:t>L/</w:t>
      </w:r>
      <w:r>
        <w:rPr>
          <w:rFonts w:hint="eastAsia" w:hAnsi="宋体"/>
          <w:iCs/>
        </w:rPr>
        <w:t>（床</w:t>
      </w:r>
      <w:r>
        <w:rPr>
          <w:rFonts w:hAnsi="宋体"/>
        </w:rPr>
        <w:t>·</w:t>
      </w:r>
      <w:r>
        <w:rPr>
          <w:rFonts w:hint="eastAsia" w:hAnsi="宋体"/>
          <w:iCs/>
        </w:rPr>
        <w:t>日）；</w:t>
      </w:r>
    </w:p>
    <w:p>
      <w:pPr>
        <w:pStyle w:val="56"/>
        <w:ind w:firstLine="420"/>
        <w:rPr>
          <w:rFonts w:hAnsi="宋体"/>
          <w:iCs/>
          <w:szCs w:val="21"/>
        </w:rPr>
      </w:pPr>
      <w:r>
        <w:rPr>
          <w:rFonts w:hint="eastAsia" w:hAnsi="宋体"/>
          <w:i/>
          <w:iCs/>
          <w:szCs w:val="21"/>
        </w:rPr>
        <w:t>W</w:t>
      </w:r>
      <w:r>
        <w:rPr>
          <w:rFonts w:hint="eastAsia" w:hAnsi="宋体"/>
          <w:i/>
          <w:iCs/>
          <w:szCs w:val="21"/>
          <w:vertAlign w:val="subscript"/>
        </w:rPr>
        <w:t>Z</w:t>
      </w:r>
      <w:bookmarkStart w:id="42" w:name="_Hlk59380169"/>
      <w:r>
        <w:rPr>
          <w:rFonts w:hint="eastAsia" w:hAnsi="宋体"/>
          <w:iCs/>
          <w:szCs w:val="21"/>
        </w:rPr>
        <w:t>——三级、二级、一级综合医院住院部年用水总量</w:t>
      </w:r>
      <w:bookmarkEnd w:id="42"/>
      <w:r>
        <w:rPr>
          <w:rFonts w:hint="eastAsia" w:hAnsi="宋体"/>
          <w:iCs/>
          <w:szCs w:val="21"/>
        </w:rPr>
        <w:t>（包括住院部、医技部、教学科研、后勤、行</w:t>
      </w:r>
    </w:p>
    <w:p>
      <w:pPr>
        <w:pStyle w:val="56"/>
        <w:ind w:firstLine="840" w:firstLineChars="400"/>
        <w:rPr>
          <w:rFonts w:hAnsi="宋体"/>
          <w:iCs/>
          <w:szCs w:val="21"/>
        </w:rPr>
      </w:pPr>
      <w:r>
        <w:rPr>
          <w:rFonts w:hAnsi="宋体"/>
          <w:iCs/>
          <w:szCs w:val="21"/>
        </w:rPr>
        <w:t>   </w:t>
      </w:r>
      <w:r>
        <w:rPr>
          <w:rFonts w:hint="eastAsia" w:hAnsi="宋体"/>
          <w:iCs/>
          <w:szCs w:val="21"/>
        </w:rPr>
        <w:t>政管理等用水量，不包括</w:t>
      </w:r>
      <w:bookmarkStart w:id="43" w:name="_Hlk59380014"/>
      <w:r>
        <w:rPr>
          <w:rFonts w:hint="eastAsia" w:hAnsi="宋体"/>
          <w:iCs/>
          <w:szCs w:val="21"/>
        </w:rPr>
        <w:t>洗衣、制药、试验用水量和家属区、宿舍、幼儿园、招待所等用水</w:t>
      </w:r>
    </w:p>
    <w:p>
      <w:pPr>
        <w:pStyle w:val="56"/>
        <w:ind w:firstLine="840" w:firstLineChars="400"/>
        <w:rPr>
          <w:rFonts w:hAnsi="宋体"/>
          <w:iCs/>
          <w:szCs w:val="21"/>
        </w:rPr>
      </w:pPr>
      <w:r>
        <w:rPr>
          <w:rFonts w:hAnsi="宋体"/>
          <w:iCs/>
          <w:szCs w:val="21"/>
        </w:rPr>
        <w:t>   </w:t>
      </w:r>
      <w:r>
        <w:rPr>
          <w:rFonts w:hint="eastAsia" w:hAnsi="宋体"/>
          <w:iCs/>
          <w:szCs w:val="21"/>
        </w:rPr>
        <w:t>量和外供水量</w:t>
      </w:r>
      <w:bookmarkEnd w:id="43"/>
      <w:r>
        <w:rPr>
          <w:rFonts w:hint="eastAsia" w:hAnsi="宋体"/>
          <w:iCs/>
          <w:szCs w:val="21"/>
        </w:rPr>
        <w:t>），单位为</w:t>
      </w:r>
      <w:r>
        <w:rPr>
          <w:rFonts w:hAnsi="宋体"/>
          <w:iCs/>
          <w:szCs w:val="21"/>
        </w:rPr>
        <w:t>m</w:t>
      </w:r>
      <w:r>
        <w:rPr>
          <w:rFonts w:hAnsi="宋体"/>
          <w:iCs/>
          <w:szCs w:val="21"/>
          <w:vertAlign w:val="superscript"/>
        </w:rPr>
        <w:t>3</w:t>
      </w:r>
      <w:r>
        <w:rPr>
          <w:rFonts w:hAnsi="宋体"/>
          <w:iCs/>
          <w:szCs w:val="21"/>
        </w:rPr>
        <w:t>/a</w:t>
      </w:r>
      <w:r>
        <w:rPr>
          <w:rFonts w:hint="eastAsia" w:hAnsi="宋体"/>
          <w:iCs/>
          <w:szCs w:val="21"/>
        </w:rPr>
        <w:t>；</w:t>
      </w:r>
    </w:p>
    <w:p>
      <w:pPr>
        <w:pStyle w:val="56"/>
        <w:ind w:firstLine="420"/>
      </w:pPr>
      <w:r>
        <w:rPr>
          <w:rFonts w:hint="eastAsia" w:hAnsi="宋体"/>
          <w:i/>
        </w:rPr>
        <w:t>N</w:t>
      </w:r>
      <w:r>
        <w:rPr>
          <w:rFonts w:hint="eastAsia" w:hAnsi="宋体"/>
          <w:i/>
          <w:vertAlign w:val="subscript"/>
        </w:rPr>
        <w:t>i</w:t>
      </w:r>
      <w:r>
        <w:rPr>
          <w:rFonts w:hint="eastAsia" w:hAnsi="宋体"/>
        </w:rPr>
        <w:t>——三级、二级、一级综合医院第</w:t>
      </w:r>
      <m:oMath>
        <m:r>
          <m:rPr/>
          <w:rPr>
            <w:rFonts w:ascii="Cambria Math" w:hAnsi="Cambria Math"/>
          </w:rPr>
          <m:t>i</m:t>
        </m:r>
      </m:oMath>
      <w:r>
        <w:rPr>
          <w:rFonts w:hint="eastAsia" w:hAnsi="宋体"/>
        </w:rPr>
        <w:t>日的实际开放床日数，单位为床</w:t>
      </w:r>
      <w:r>
        <w:rPr>
          <w:rFonts w:hAnsi="宋体"/>
        </w:rPr>
        <w:t>·</w:t>
      </w:r>
      <w:r>
        <w:rPr>
          <w:rFonts w:hint="eastAsia" w:hAnsi="宋体"/>
        </w:rPr>
        <w:t>日。</w:t>
      </w:r>
    </w:p>
    <w:p>
      <w:pPr>
        <w:pStyle w:val="65"/>
        <w:spacing w:before="156" w:after="156"/>
      </w:pPr>
      <w:r>
        <w:rPr>
          <w:rFonts w:hint="eastAsia"/>
        </w:rPr>
        <w:t>文化艺术业单位用水量</w:t>
      </w:r>
    </w:p>
    <w:p>
      <w:pPr>
        <w:pStyle w:val="56"/>
        <w:ind w:firstLine="420"/>
      </w:pPr>
      <w:r>
        <w:rPr>
          <w:rFonts w:hint="eastAsia"/>
        </w:rPr>
        <w:t>单位时间内，图书馆、档案馆、博物馆、纪念馆</w:t>
      </w:r>
      <w:r>
        <w:t>的</w:t>
      </w:r>
      <w:r>
        <w:rPr>
          <w:rFonts w:hint="eastAsia"/>
        </w:rPr>
        <w:t>单位建筑面积年取</w:t>
      </w:r>
      <w:r>
        <w:t>水量按式</w:t>
      </w:r>
      <w:r>
        <w:rPr>
          <w:rFonts w:hAnsi="宋体"/>
        </w:rPr>
        <w:t>（6）</w:t>
      </w:r>
      <w:r>
        <w:rPr>
          <w:rFonts w:hint="eastAsia"/>
        </w:rPr>
        <w:t>计算：</w:t>
      </w:r>
    </w:p>
    <w:p>
      <w:pPr>
        <w:pStyle w:val="113"/>
      </w:pPr>
      <w:r>
        <w:tab/>
      </w:r>
      <m:oMath>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ascii="Cambria Math" w:hAnsi="Cambria Math" w:eastAsia="Cambria Math"/>
                <w:sz w:val="24"/>
              </w:rPr>
              <m:t>u</m:t>
            </m:r>
            <m:r>
              <m:rPr/>
              <w:rPr>
                <w:rFonts w:hint="eastAsia" w:ascii="Cambria Math" w:hAnsi="Cambria Math" w:eastAsiaTheme="minorEastAsia"/>
                <w:sz w:val="24"/>
              </w:rPr>
              <m:t>i</m:t>
            </m:r>
            <m:ctrlPr>
              <w:rPr>
                <w:rFonts w:ascii="Cambria Math" w:hAnsi="Cambria Math" w:eastAsia="Cambria Math"/>
                <w:i/>
                <w:sz w:val="24"/>
              </w:rPr>
            </m:ctrlPr>
          </m:sub>
        </m:sSub>
        <m:r>
          <m:rPr/>
          <w:rPr>
            <w:rFonts w:ascii="Cambria Math" w:hAnsi="Cambria Math" w:eastAsia="Cambria Math"/>
            <w:sz w:val="24"/>
          </w:rPr>
          <m:t>=</m:t>
        </m:r>
        <m:f>
          <m:fPr>
            <m:ctrlPr>
              <w:rPr>
                <w:rFonts w:ascii="Cambria Math" w:hAnsi="Cambria Math" w:eastAsia="Cambria Math"/>
                <w:i/>
                <w:sz w:val="24"/>
              </w:rPr>
            </m:ctrlPr>
          </m:fPr>
          <m:num>
            <m:sSub>
              <m:sSubPr>
                <m:ctrlPr>
                  <w:rPr>
                    <w:rFonts w:ascii="Cambria Math" w:hAnsi="Cambria Math" w:eastAsia="Cambria Math"/>
                    <w:i/>
                    <w:sz w:val="24"/>
                  </w:rPr>
                </m:ctrlPr>
              </m:sSubPr>
              <m:e>
                <m:r>
                  <m:rPr/>
                  <w:rPr>
                    <w:rFonts w:ascii="Cambria Math" w:hAnsi="Cambria Math" w:eastAsia="Cambria Math"/>
                    <w:sz w:val="24"/>
                  </w:rPr>
                  <m:t>V</m:t>
                </m:r>
                <m:ctrlPr>
                  <w:rPr>
                    <w:rFonts w:ascii="Cambria Math" w:hAnsi="Cambria Math" w:eastAsia="Cambria Math"/>
                    <w:i/>
                    <w:sz w:val="24"/>
                  </w:rPr>
                </m:ctrlPr>
              </m:e>
              <m:sub>
                <m:r>
                  <m:rPr/>
                  <w:rPr>
                    <w:rFonts w:ascii="Cambria Math" w:hAnsi="Cambria Math" w:eastAsia="Cambria Math"/>
                    <w:sz w:val="24"/>
                  </w:rPr>
                  <m:t>j</m:t>
                </m:r>
                <m:ctrlPr>
                  <w:rPr>
                    <w:rFonts w:ascii="Cambria Math" w:hAnsi="Cambria Math" w:eastAsia="Cambria Math"/>
                    <w:i/>
                    <w:sz w:val="24"/>
                  </w:rPr>
                </m:ctrlPr>
              </m:sub>
            </m:sSub>
            <m:ctrlPr>
              <w:rPr>
                <w:rFonts w:ascii="Cambria Math" w:hAnsi="Cambria Math" w:eastAsia="Cambria Math"/>
                <w:i/>
                <w:sz w:val="24"/>
              </w:rPr>
            </m:ctrlPr>
          </m:num>
          <m:den>
            <m:sSub>
              <m:sSubPr>
                <m:ctrlPr>
                  <w:rPr>
                    <w:rFonts w:ascii="Cambria Math" w:hAnsi="Cambria Math" w:eastAsia="Cambria Math"/>
                    <w:i/>
                    <w:sz w:val="24"/>
                  </w:rPr>
                </m:ctrlPr>
              </m:sSubPr>
              <m:e>
                <m:r>
                  <m:rPr/>
                  <w:rPr>
                    <w:rFonts w:ascii="Cambria Math" w:hAnsi="Cambria Math" w:eastAsia="Cambria Math"/>
                    <w:sz w:val="24"/>
                  </w:rPr>
                  <m:t>N</m:t>
                </m:r>
                <m:ctrlPr>
                  <w:rPr>
                    <w:rFonts w:ascii="Cambria Math" w:hAnsi="Cambria Math" w:eastAsia="Cambria Math"/>
                    <w:i/>
                    <w:sz w:val="24"/>
                  </w:rPr>
                </m:ctrlPr>
              </m:e>
              <m:sub>
                <m:r>
                  <m:rPr>
                    <m:sty m:val="p"/>
                  </m:rPr>
                  <w:rPr>
                    <w:rFonts w:hint="eastAsia" w:ascii="Cambria Math" w:hAnsi="Cambria Math" w:eastAsiaTheme="minorEastAsia"/>
                    <w:sz w:val="24"/>
                  </w:rPr>
                  <m:t>c</m:t>
                </m:r>
                <m:ctrlPr>
                  <w:rPr>
                    <w:rFonts w:ascii="Cambria Math" w:hAnsi="Cambria Math" w:eastAsia="Cambria Math"/>
                    <w:i/>
                    <w:sz w:val="24"/>
                  </w:rPr>
                </m:ctrlPr>
              </m:sub>
            </m:sSub>
            <m:ctrlPr>
              <w:rPr>
                <w:rFonts w:ascii="Cambria Math" w:hAnsi="Cambria Math" w:eastAsia="Cambria Math"/>
                <w:i/>
                <w:sz w:val="24"/>
              </w:rPr>
            </m:ctrlPr>
          </m:den>
        </m:f>
        <m:r>
          <m:rPr/>
          <w:rPr>
            <w:rFonts w:ascii="Cambria Math" w:hAnsi="Cambria Math" w:eastAsia="Cambria Math"/>
            <w:sz w:val="24"/>
          </w:rPr>
          <m:t>×1000</m:t>
        </m:r>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pStyle w:val="56"/>
        <w:ind w:firstLine="420"/>
        <w:rPr>
          <w:iCs/>
        </w:rPr>
      </w:pPr>
      <w:r>
        <w:rPr>
          <w:rFonts w:hint="eastAsia"/>
          <w:i/>
          <w:iCs/>
        </w:rPr>
        <w:t>V</w:t>
      </w:r>
      <w:r>
        <w:rPr>
          <w:rFonts w:hint="eastAsia"/>
          <w:i/>
          <w:iCs/>
          <w:vertAlign w:val="subscript"/>
        </w:rPr>
        <w:t>ui</w:t>
      </w:r>
      <w:r>
        <w:rPr>
          <w:rFonts w:hint="eastAsia"/>
          <w:iCs/>
        </w:rPr>
        <w:t>——单位建筑面积取水量</w:t>
      </w:r>
      <w:r>
        <w:rPr>
          <w:iCs/>
        </w:rPr>
        <w:t>，单位为</w:t>
      </w:r>
      <w:r>
        <w:rPr>
          <w:rFonts w:hint="eastAsia"/>
          <w:iCs/>
        </w:rPr>
        <w:t>立方米每平方米</w:t>
      </w:r>
      <w:r>
        <w:rPr>
          <w:rFonts w:hint="eastAsia" w:hAnsi="宋体"/>
          <w:iCs/>
        </w:rPr>
        <w:t>年（</w:t>
      </w:r>
      <w:r>
        <w:rPr>
          <w:rFonts w:hAnsi="宋体"/>
          <w:iCs/>
        </w:rPr>
        <w:t>m</w:t>
      </w:r>
      <w:r>
        <w:rPr>
          <w:rFonts w:hAnsi="宋体"/>
          <w:iCs/>
          <w:vertAlign w:val="superscript"/>
        </w:rPr>
        <w:t>3</w:t>
      </w:r>
      <w:r>
        <w:rPr>
          <w:rFonts w:hAnsi="宋体"/>
          <w:iCs/>
        </w:rPr>
        <w:t>/m</w:t>
      </w:r>
      <w:r>
        <w:rPr>
          <w:rFonts w:hAnsi="宋体"/>
          <w:iCs/>
          <w:vertAlign w:val="superscript"/>
        </w:rPr>
        <w:t>2</w:t>
      </w:r>
      <w:r>
        <w:rPr>
          <w:rFonts w:hAnsi="宋体"/>
          <w:iCs/>
        </w:rPr>
        <w:t>·a）</w:t>
      </w:r>
      <w:r>
        <w:rPr>
          <w:rFonts w:hint="eastAsia" w:hAnsi="宋体"/>
          <w:iCs/>
        </w:rPr>
        <w:t>；</w:t>
      </w:r>
    </w:p>
    <w:p>
      <w:pPr>
        <w:pStyle w:val="56"/>
        <w:ind w:firstLine="420"/>
        <w:rPr>
          <w:iCs/>
        </w:rPr>
      </w:pPr>
      <w:r>
        <w:rPr>
          <w:rFonts w:hint="eastAsia"/>
          <w:i/>
          <w:iCs/>
        </w:rPr>
        <w:t>V</w:t>
      </w:r>
      <w:r>
        <w:rPr>
          <w:rFonts w:hint="eastAsia"/>
          <w:i/>
          <w:iCs/>
          <w:vertAlign w:val="subscript"/>
        </w:rPr>
        <w:t xml:space="preserve">j </w:t>
      </w:r>
      <w:r>
        <w:rPr>
          <w:rFonts w:hint="eastAsia"/>
          <w:iCs/>
        </w:rPr>
        <w:t>——图书馆、档案馆、博物馆、纪念馆日取水量，单位为立</w:t>
      </w:r>
      <w:r>
        <w:rPr>
          <w:rFonts w:hint="eastAsia" w:hAnsi="宋体"/>
          <w:iCs/>
        </w:rPr>
        <w:t>方米每年（</w:t>
      </w:r>
      <w:r>
        <w:rPr>
          <w:rFonts w:hAnsi="宋体"/>
          <w:iCs/>
        </w:rPr>
        <w:t>m</w:t>
      </w:r>
      <w:r>
        <w:rPr>
          <w:rFonts w:hAnsi="宋体"/>
          <w:iCs/>
          <w:vertAlign w:val="superscript"/>
        </w:rPr>
        <w:t>3</w:t>
      </w:r>
      <w:r>
        <w:rPr>
          <w:rFonts w:hAnsi="宋体"/>
          <w:iCs/>
        </w:rPr>
        <w:t>/a</w:t>
      </w:r>
      <w:r>
        <w:rPr>
          <w:rFonts w:hint="eastAsia" w:hAnsi="宋体"/>
          <w:iCs/>
        </w:rPr>
        <w:t>）；</w:t>
      </w:r>
    </w:p>
    <w:p>
      <w:pPr>
        <w:pStyle w:val="56"/>
        <w:ind w:firstLine="420"/>
      </w:pPr>
      <w:r>
        <w:rPr>
          <w:rFonts w:hint="eastAsia"/>
          <w:i/>
          <w:iCs/>
        </w:rPr>
        <w:t>N</w:t>
      </w:r>
      <w:r>
        <w:rPr>
          <w:rFonts w:hint="eastAsia"/>
          <w:i/>
          <w:iCs/>
          <w:vertAlign w:val="subscript"/>
        </w:rPr>
        <w:t xml:space="preserve">C </w:t>
      </w:r>
      <w:r>
        <w:rPr>
          <w:rFonts w:hint="eastAsia"/>
        </w:rPr>
        <w:t>——图书馆、档案馆、博物馆、纪念馆建筑面积，单位为</w:t>
      </w:r>
      <w:r>
        <w:rPr>
          <w:rFonts w:hint="eastAsia" w:hAnsi="宋体"/>
        </w:rPr>
        <w:t>平方米（</w:t>
      </w:r>
      <w:r>
        <w:rPr>
          <w:rFonts w:hAnsi="宋体"/>
        </w:rPr>
        <w:t>m</w:t>
      </w:r>
      <w:r>
        <w:rPr>
          <w:rFonts w:hAnsi="宋体"/>
          <w:vertAlign w:val="superscript"/>
        </w:rPr>
        <w:t>2</w:t>
      </w:r>
      <w:r>
        <w:rPr>
          <w:rFonts w:hint="eastAsia" w:hAnsi="宋体"/>
        </w:rPr>
        <w:t>）</w:t>
      </w:r>
      <w:r>
        <w:rPr>
          <w:rFonts w:hint="eastAsia"/>
        </w:rPr>
        <w:t>。</w:t>
      </w:r>
    </w:p>
    <w:p>
      <w:pPr>
        <w:pStyle w:val="65"/>
        <w:spacing w:before="156" w:after="156"/>
      </w:pPr>
      <w:r>
        <w:rPr>
          <w:rFonts w:hint="eastAsia"/>
        </w:rPr>
        <w:t>机关单位用水量</w:t>
      </w:r>
    </w:p>
    <w:p>
      <w:pPr>
        <w:pStyle w:val="56"/>
        <w:ind w:firstLine="420"/>
      </w:pPr>
      <w:r>
        <w:rPr>
          <w:rFonts w:hint="eastAsia"/>
        </w:rPr>
        <w:t>单位时间内，人均机关取水量</w:t>
      </w:r>
      <w:r>
        <w:t>按式</w:t>
      </w:r>
      <w:r>
        <w:rPr>
          <w:rFonts w:hAnsi="宋体"/>
        </w:rPr>
        <w:t>（7）</w:t>
      </w:r>
      <w:r>
        <w:rPr>
          <w:rFonts w:hint="eastAsia"/>
        </w:rPr>
        <w:t>计算：</w:t>
      </w:r>
    </w:p>
    <w:p>
      <w:pPr>
        <w:pStyle w:val="113"/>
      </w:pPr>
      <w:r>
        <w:tab/>
      </w:r>
      <m:oMath>
        <m:sSub>
          <m:sSubPr>
            <m:ctrlPr>
              <w:rPr>
                <w:rFonts w:ascii="Cambria Math" w:hAnsi="Cambria Math"/>
                <w:sz w:val="24"/>
              </w:rPr>
            </m:ctrlPr>
          </m:sSubPr>
          <m:e>
            <m:r>
              <m:rPr/>
              <w:rPr>
                <w:rFonts w:ascii="Cambria Math" w:hAnsi="Cambria Math"/>
                <w:sz w:val="24"/>
              </w:rPr>
              <m:t>V</m:t>
            </m:r>
            <m:ctrlPr>
              <w:rPr>
                <w:rFonts w:ascii="Cambria Math" w:hAnsi="Cambria Math"/>
                <w:sz w:val="24"/>
              </w:rPr>
            </m:ctrlPr>
          </m:e>
          <m:sub>
            <m:r>
              <m:rPr/>
              <w:rPr>
                <w:rFonts w:ascii="Cambria Math" w:hAnsi="Cambria Math"/>
                <w:sz w:val="24"/>
              </w:rPr>
              <m:t>uc</m:t>
            </m:r>
            <m:ctrlPr>
              <w:rPr>
                <w:rFonts w:ascii="Cambria Math" w:hAnsi="Cambria Math"/>
                <w:sz w:val="24"/>
              </w:rPr>
            </m:ctrlPr>
          </m:sub>
        </m:sSub>
        <m:r>
          <m:rPr>
            <m:sty m:val="p"/>
          </m:rPr>
          <w:rPr>
            <w:rFonts w:hint="eastAsia" w:ascii="Cambria Math" w:hAnsi="Cambria Math"/>
            <w:sz w:val="24"/>
          </w:rPr>
          <m:t>=</m:t>
        </m:r>
        <m:f>
          <m:fPr>
            <m:ctrlPr>
              <w:rPr>
                <w:rFonts w:ascii="Cambria Math" w:hAnsi="Cambria Math"/>
                <w:sz w:val="24"/>
              </w:rPr>
            </m:ctrlPr>
          </m:fPr>
          <m:num>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k</m:t>
                </m:r>
                <m:ctrlPr>
                  <w:rPr>
                    <w:rFonts w:ascii="Cambria Math" w:hAnsi="Cambria Math"/>
                    <w:i/>
                    <w:sz w:val="24"/>
                  </w:rPr>
                </m:ctrlPr>
              </m:sub>
            </m:sSub>
            <m:ctrlPr>
              <w:rPr>
                <w:rFonts w:ascii="Cambria Math" w:hAnsi="Cambria Math"/>
                <w:sz w:val="24"/>
              </w:rPr>
            </m:ctrlPr>
          </m:num>
          <m:den>
            <m:sSub>
              <m:sSubPr>
                <m:ctrlPr>
                  <w:rPr>
                    <w:rFonts w:ascii="Cambria Math" w:hAnsi="Cambria Math"/>
                    <w:i/>
                    <w:sz w:val="24"/>
                  </w:rPr>
                </m:ctrlPr>
              </m:sSubPr>
              <m:e>
                <m:r>
                  <m:rPr/>
                  <w:rPr>
                    <w:rFonts w:ascii="Cambria Math" w:hAnsi="Cambria Math"/>
                    <w:sz w:val="24"/>
                  </w:rPr>
                  <m:t>N</m:t>
                </m:r>
                <m:ctrlPr>
                  <w:rPr>
                    <w:rFonts w:ascii="Cambria Math" w:hAnsi="Cambria Math"/>
                    <w:i/>
                    <w:sz w:val="24"/>
                  </w:rPr>
                </m:ctrlPr>
              </m:e>
              <m:sub>
                <m:r>
                  <m:rPr/>
                  <w:rPr>
                    <w:rFonts w:ascii="Cambria Math" w:hAnsi="Cambria Math"/>
                    <w:sz w:val="24"/>
                  </w:rPr>
                  <m:t>p</m:t>
                </m:r>
                <m:ctrlPr>
                  <w:rPr>
                    <w:rFonts w:ascii="Cambria Math" w:hAnsi="Cambria Math"/>
                    <w:i/>
                    <w:sz w:val="24"/>
                  </w:rPr>
                </m:ctrlPr>
              </m:sub>
            </m:sSub>
            <m:ctrlPr>
              <w:rPr>
                <w:rFonts w:ascii="Cambria Math" w:hAnsi="Cambria Math"/>
                <w:sz w:val="24"/>
              </w:rPr>
            </m:ctrlPr>
          </m:den>
        </m:f>
      </m:oMath>
      <w:r>
        <w:rPr>
          <w:rFonts w:ascii="微软雅黑" w:hAnsi="微软雅黑" w:eastAsia="微软雅黑"/>
        </w:rPr>
        <w:tab/>
      </w:r>
      <w:r>
        <w:t>(</w:t>
      </w:r>
      <w:r>
        <w:fldChar w:fldCharType="begin"/>
      </w:r>
      <w:r>
        <w:instrText xml:space="preserve"> AUTONUM </w:instrText>
      </w:r>
      <w:r>
        <w:fldChar w:fldCharType="end"/>
      </w:r>
      <w:r>
        <w:t>)</w:t>
      </w:r>
    </w:p>
    <w:p>
      <w:pPr>
        <w:pStyle w:val="56"/>
        <w:ind w:firstLine="420"/>
      </w:pPr>
      <w:r>
        <w:rPr>
          <w:rFonts w:hint="eastAsia"/>
        </w:rPr>
        <w:t>式中：</w:t>
      </w:r>
    </w:p>
    <w:p>
      <w:pPr>
        <w:pStyle w:val="56"/>
        <w:ind w:firstLine="420"/>
        <w:rPr>
          <w:iCs/>
        </w:rPr>
      </w:pPr>
      <w:r>
        <w:rPr>
          <w:rFonts w:hint="eastAsia"/>
          <w:i/>
          <w:iCs/>
        </w:rPr>
        <w:t>V</w:t>
      </w:r>
      <w:r>
        <w:rPr>
          <w:rFonts w:hint="eastAsia"/>
          <w:i/>
          <w:iCs/>
          <w:vertAlign w:val="subscript"/>
        </w:rPr>
        <w:t>uc</w:t>
      </w:r>
      <w:r>
        <w:rPr>
          <w:rFonts w:hint="eastAsia"/>
          <w:iCs/>
        </w:rPr>
        <w:t>——人均机关取水量</w:t>
      </w:r>
      <w:r>
        <w:rPr>
          <w:iCs/>
        </w:rPr>
        <w:t>，单位为</w:t>
      </w:r>
      <w:r>
        <w:rPr>
          <w:rFonts w:hint="eastAsia"/>
          <w:iCs/>
        </w:rPr>
        <w:t>立方米每人年（</w:t>
      </w:r>
      <w:r>
        <w:rPr>
          <w:iCs/>
        </w:rPr>
        <w:t>m</w:t>
      </w:r>
      <w:r>
        <w:rPr>
          <w:iCs/>
          <w:vertAlign w:val="superscript"/>
        </w:rPr>
        <w:t>3</w:t>
      </w:r>
      <w:r>
        <w:rPr>
          <w:iCs/>
        </w:rPr>
        <w:t>/人·a）</w:t>
      </w:r>
      <w:r>
        <w:rPr>
          <w:rFonts w:hint="eastAsia"/>
          <w:iCs/>
        </w:rPr>
        <w:t>；</w:t>
      </w:r>
    </w:p>
    <w:p>
      <w:pPr>
        <w:pStyle w:val="56"/>
        <w:ind w:firstLine="420"/>
        <w:rPr>
          <w:iCs/>
        </w:rPr>
      </w:pPr>
      <w:r>
        <w:rPr>
          <w:rFonts w:hint="eastAsia"/>
          <w:i/>
          <w:iCs/>
        </w:rPr>
        <w:t>V</w:t>
      </w:r>
      <w:r>
        <w:rPr>
          <w:rFonts w:hint="eastAsia"/>
          <w:i/>
          <w:iCs/>
          <w:vertAlign w:val="subscript"/>
        </w:rPr>
        <w:t xml:space="preserve">k </w:t>
      </w:r>
      <w:r>
        <w:rPr>
          <w:rFonts w:hint="eastAsia"/>
          <w:iCs/>
        </w:rPr>
        <w:t>——年机关取水量，单位为立方米每年（</w:t>
      </w:r>
      <w:r>
        <w:rPr>
          <w:iCs/>
        </w:rPr>
        <w:t>m</w:t>
      </w:r>
      <w:r>
        <w:rPr>
          <w:iCs/>
          <w:vertAlign w:val="superscript"/>
        </w:rPr>
        <w:t>3</w:t>
      </w:r>
      <w:r>
        <w:rPr>
          <w:iCs/>
        </w:rPr>
        <w:t>/a</w:t>
      </w:r>
      <w:r>
        <w:rPr>
          <w:rFonts w:hint="eastAsia"/>
          <w:iCs/>
        </w:rPr>
        <w:t>）；</w:t>
      </w:r>
    </w:p>
    <w:p>
      <w:pPr>
        <w:pStyle w:val="56"/>
        <w:ind w:firstLine="420"/>
      </w:pPr>
      <w:r>
        <w:rPr>
          <w:rFonts w:hint="eastAsia"/>
          <w:i/>
          <w:iCs/>
        </w:rPr>
        <w:t>N</w:t>
      </w:r>
      <w:r>
        <w:rPr>
          <w:rFonts w:hint="eastAsia"/>
          <w:i/>
          <w:iCs/>
          <w:vertAlign w:val="subscript"/>
        </w:rPr>
        <w:t xml:space="preserve">p </w:t>
      </w:r>
      <w:r>
        <w:rPr>
          <w:rFonts w:hint="eastAsia"/>
        </w:rPr>
        <w:t>——机关人数，单位为人。</w:t>
      </w:r>
    </w:p>
    <w:p>
      <w:pPr>
        <w:pStyle w:val="104"/>
        <w:spacing w:before="312" w:after="312"/>
      </w:pPr>
      <w:r>
        <w:rPr>
          <w:rFonts w:hint="eastAsia"/>
        </w:rPr>
        <w:t>用水定额</w:t>
      </w:r>
    </w:p>
    <w:p>
      <w:pPr>
        <w:pStyle w:val="56"/>
        <w:ind w:firstLine="420"/>
        <w:rPr>
          <w:rFonts w:hAnsi="宋体"/>
        </w:rPr>
      </w:pPr>
      <w:r>
        <w:rPr>
          <w:rFonts w:hint="eastAsia" w:hAnsi="宋体"/>
        </w:rPr>
        <w:t>用水定额按照行业编制，行业划分按</w:t>
      </w:r>
      <w:r>
        <w:rPr>
          <w:rFonts w:hAnsi="宋体"/>
        </w:rPr>
        <w:t>GB/T</w:t>
      </w:r>
      <w:r>
        <w:rPr>
          <w:rFonts w:hint="eastAsia" w:hAnsi="宋体"/>
        </w:rPr>
        <w:t xml:space="preserve"> 4754执行。山东省教育、卫生等服务业用水定额见表2。</w:t>
      </w:r>
    </w:p>
    <w:p>
      <w:pPr>
        <w:pStyle w:val="112"/>
        <w:spacing w:before="156" w:after="156"/>
        <w:ind w:left="0"/>
      </w:pPr>
      <w:r>
        <w:rPr>
          <w:rFonts w:hint="eastAsia"/>
        </w:rPr>
        <w:t>山东省教育、卫生等服务业用水定额</w:t>
      </w:r>
    </w:p>
    <w:tbl>
      <w:tblPr>
        <w:tblStyle w:val="26"/>
        <w:tblW w:w="49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956"/>
        <w:gridCol w:w="770"/>
        <w:gridCol w:w="1846"/>
        <w:gridCol w:w="1661"/>
        <w:gridCol w:w="1407"/>
        <w:gridCol w:w="917"/>
        <w:gridCol w:w="924"/>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blHeader/>
          <w:jc w:val="center"/>
        </w:trPr>
        <w:tc>
          <w:tcPr>
            <w:tcW w:w="1902" w:type="pct"/>
            <w:gridSpan w:val="3"/>
            <w:shd w:val="clear" w:color="auto" w:fill="auto"/>
            <w:vAlign w:val="center"/>
          </w:tcPr>
          <w:p>
            <w:pPr>
              <w:spacing w:line="240" w:lineRule="auto"/>
              <w:jc w:val="center"/>
              <w:rPr>
                <w:rFonts w:ascii="宋体" w:hAnsi="宋体"/>
                <w:sz w:val="18"/>
                <w:szCs w:val="18"/>
              </w:rPr>
            </w:pPr>
            <w:r>
              <w:rPr>
                <w:rFonts w:hint="eastAsia" w:ascii="宋体" w:hAnsi="宋体"/>
                <w:sz w:val="18"/>
                <w:szCs w:val="18"/>
              </w:rPr>
              <w:t>行业代码</w:t>
            </w:r>
          </w:p>
        </w:tc>
        <w:tc>
          <w:tcPr>
            <w:tcW w:w="884"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用水类别</w:t>
            </w:r>
          </w:p>
        </w:tc>
        <w:tc>
          <w:tcPr>
            <w:tcW w:w="749"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定额单位</w:t>
            </w:r>
          </w:p>
        </w:tc>
        <w:tc>
          <w:tcPr>
            <w:tcW w:w="980" w:type="pct"/>
            <w:gridSpan w:val="2"/>
            <w:shd w:val="clear" w:color="auto" w:fill="auto"/>
            <w:vAlign w:val="center"/>
          </w:tcPr>
          <w:p>
            <w:pPr>
              <w:spacing w:line="240" w:lineRule="auto"/>
              <w:jc w:val="center"/>
              <w:rPr>
                <w:rFonts w:ascii="宋体" w:hAnsi="宋体"/>
                <w:sz w:val="18"/>
                <w:szCs w:val="18"/>
              </w:rPr>
            </w:pPr>
            <w:r>
              <w:rPr>
                <w:rFonts w:hint="eastAsia" w:ascii="宋体" w:hAnsi="宋体"/>
                <w:sz w:val="18"/>
                <w:szCs w:val="18"/>
              </w:rPr>
              <w:t>用水定额</w:t>
            </w:r>
          </w:p>
        </w:tc>
        <w:tc>
          <w:tcPr>
            <w:tcW w:w="485"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tblHeader/>
          <w:jc w:val="center"/>
        </w:trPr>
        <w:tc>
          <w:tcPr>
            <w:tcW w:w="509"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大类</w:t>
            </w:r>
          </w:p>
        </w:tc>
        <w:tc>
          <w:tcPr>
            <w:tcW w:w="410"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中类</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类别名称</w:t>
            </w:r>
          </w:p>
        </w:tc>
        <w:tc>
          <w:tcPr>
            <w:tcW w:w="884" w:type="pct"/>
            <w:vMerge w:val="continue"/>
            <w:vAlign w:val="center"/>
          </w:tcPr>
          <w:p>
            <w:pPr>
              <w:spacing w:line="240" w:lineRule="auto"/>
              <w:jc w:val="center"/>
              <w:rPr>
                <w:rFonts w:ascii="宋体" w:hAnsi="宋体"/>
                <w:sz w:val="18"/>
                <w:szCs w:val="18"/>
              </w:rPr>
            </w:pPr>
          </w:p>
        </w:tc>
        <w:tc>
          <w:tcPr>
            <w:tcW w:w="749" w:type="pct"/>
            <w:vMerge w:val="continue"/>
            <w:vAlign w:val="center"/>
          </w:tcPr>
          <w:p>
            <w:pPr>
              <w:spacing w:line="240" w:lineRule="auto"/>
              <w:jc w:val="center"/>
              <w:rPr>
                <w:rFonts w:ascii="宋体" w:hAnsi="宋体"/>
                <w:sz w:val="18"/>
                <w:szCs w:val="18"/>
              </w:rPr>
            </w:pPr>
          </w:p>
        </w:tc>
        <w:tc>
          <w:tcPr>
            <w:tcW w:w="488"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先进值</w:t>
            </w:r>
          </w:p>
        </w:tc>
        <w:tc>
          <w:tcPr>
            <w:tcW w:w="49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通用值</w:t>
            </w:r>
          </w:p>
        </w:tc>
        <w:tc>
          <w:tcPr>
            <w:tcW w:w="485" w:type="pct"/>
            <w:vMerge w:val="continue"/>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shd w:val="clear" w:color="auto" w:fill="auto"/>
            <w:vAlign w:val="center"/>
          </w:tcPr>
          <w:p>
            <w:pPr>
              <w:spacing w:line="240" w:lineRule="auto"/>
              <w:jc w:val="center"/>
              <w:rPr>
                <w:rFonts w:ascii="宋体" w:hAnsi="宋体"/>
                <w:sz w:val="18"/>
                <w:szCs w:val="18"/>
              </w:rPr>
            </w:pPr>
            <w:r>
              <w:rPr>
                <w:rFonts w:ascii="宋体" w:hAnsi="宋体"/>
                <w:sz w:val="18"/>
                <w:szCs w:val="18"/>
              </w:rPr>
              <w:t>P</w:t>
            </w:r>
            <w:r>
              <w:rPr>
                <w:rFonts w:hint="eastAsia" w:ascii="宋体" w:hAnsi="宋体"/>
                <w:sz w:val="18"/>
                <w:szCs w:val="18"/>
              </w:rPr>
              <w:t>83</w:t>
            </w:r>
          </w:p>
        </w:tc>
        <w:tc>
          <w:tcPr>
            <w:tcW w:w="410" w:type="pct"/>
            <w:shd w:val="clear" w:color="auto" w:fill="auto"/>
            <w:vAlign w:val="center"/>
          </w:tcPr>
          <w:p>
            <w:pPr>
              <w:spacing w:line="240" w:lineRule="auto"/>
              <w:jc w:val="center"/>
              <w:rPr>
                <w:rFonts w:ascii="宋体" w:hAnsi="宋体"/>
                <w:sz w:val="18"/>
                <w:szCs w:val="18"/>
              </w:rPr>
            </w:pP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教育</w:t>
            </w:r>
          </w:p>
        </w:tc>
        <w:tc>
          <w:tcPr>
            <w:tcW w:w="884" w:type="pct"/>
            <w:shd w:val="clear" w:color="auto" w:fill="auto"/>
            <w:vAlign w:val="center"/>
          </w:tcPr>
          <w:p>
            <w:pPr>
              <w:spacing w:line="240" w:lineRule="auto"/>
              <w:jc w:val="center"/>
              <w:rPr>
                <w:rFonts w:ascii="宋体" w:hAnsi="宋体"/>
                <w:sz w:val="18"/>
                <w:szCs w:val="18"/>
              </w:rPr>
            </w:pPr>
          </w:p>
        </w:tc>
        <w:tc>
          <w:tcPr>
            <w:tcW w:w="749" w:type="pct"/>
            <w:shd w:val="clear" w:color="auto" w:fill="auto"/>
            <w:vAlign w:val="center"/>
          </w:tcPr>
          <w:p>
            <w:pPr>
              <w:spacing w:line="240" w:lineRule="auto"/>
              <w:jc w:val="center"/>
              <w:rPr>
                <w:rFonts w:ascii="宋体" w:hAnsi="宋体"/>
                <w:sz w:val="18"/>
                <w:szCs w:val="18"/>
              </w:rPr>
            </w:pPr>
          </w:p>
        </w:tc>
        <w:tc>
          <w:tcPr>
            <w:tcW w:w="488" w:type="pct"/>
            <w:shd w:val="clear" w:color="auto" w:fill="auto"/>
            <w:vAlign w:val="center"/>
          </w:tcPr>
          <w:p>
            <w:pPr>
              <w:spacing w:line="240" w:lineRule="auto"/>
              <w:jc w:val="center"/>
              <w:rPr>
                <w:rFonts w:ascii="宋体" w:hAnsi="宋体"/>
                <w:sz w:val="18"/>
                <w:szCs w:val="18"/>
              </w:rPr>
            </w:pPr>
          </w:p>
        </w:tc>
        <w:tc>
          <w:tcPr>
            <w:tcW w:w="492" w:type="pct"/>
            <w:shd w:val="clear" w:color="auto" w:fill="auto"/>
            <w:vAlign w:val="center"/>
          </w:tcPr>
          <w:p>
            <w:pPr>
              <w:spacing w:line="240" w:lineRule="auto"/>
              <w:jc w:val="center"/>
              <w:rPr>
                <w:rFonts w:ascii="宋体" w:hAnsi="宋体"/>
                <w:sz w:val="18"/>
                <w:szCs w:val="18"/>
              </w:rPr>
            </w:pP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restart"/>
            <w:shd w:val="clear" w:color="auto" w:fill="auto"/>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P831</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学前教育</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幼儿园</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10.3</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13.9</w:t>
            </w:r>
          </w:p>
        </w:tc>
        <w:tc>
          <w:tcPr>
            <w:tcW w:w="485"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无住宿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P832</w:t>
            </w:r>
          </w:p>
        </w:tc>
        <w:tc>
          <w:tcPr>
            <w:tcW w:w="982"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初等教育</w:t>
            </w:r>
          </w:p>
        </w:tc>
        <w:tc>
          <w:tcPr>
            <w:tcW w:w="884"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初等教育学校</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8</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11</w:t>
            </w:r>
          </w:p>
        </w:tc>
        <w:tc>
          <w:tcPr>
            <w:tcW w:w="485"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有住宿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vMerge w:val="continue"/>
            <w:vAlign w:val="center"/>
          </w:tcPr>
          <w:p>
            <w:pPr>
              <w:spacing w:line="240" w:lineRule="auto"/>
              <w:jc w:val="center"/>
              <w:rPr>
                <w:rFonts w:ascii="宋体" w:hAnsi="宋体"/>
                <w:sz w:val="18"/>
                <w:szCs w:val="18"/>
              </w:rPr>
            </w:pPr>
          </w:p>
        </w:tc>
        <w:tc>
          <w:tcPr>
            <w:tcW w:w="982" w:type="pct"/>
            <w:vMerge w:val="continue"/>
            <w:vAlign w:val="center"/>
          </w:tcPr>
          <w:p>
            <w:pPr>
              <w:spacing w:line="240" w:lineRule="auto"/>
              <w:jc w:val="center"/>
              <w:rPr>
                <w:rFonts w:ascii="宋体" w:hAnsi="宋体"/>
                <w:sz w:val="18"/>
                <w:szCs w:val="18"/>
              </w:rPr>
            </w:pPr>
          </w:p>
        </w:tc>
        <w:tc>
          <w:tcPr>
            <w:tcW w:w="884" w:type="pct"/>
            <w:vMerge w:val="continue"/>
            <w:shd w:val="clear" w:color="auto" w:fill="auto"/>
            <w:vAlign w:val="center"/>
          </w:tcPr>
          <w:p>
            <w:pPr>
              <w:spacing w:line="240" w:lineRule="auto"/>
              <w:jc w:val="center"/>
              <w:rPr>
                <w:rFonts w:ascii="宋体" w:hAnsi="宋体"/>
                <w:sz w:val="18"/>
                <w:szCs w:val="18"/>
              </w:rPr>
            </w:pP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6.8</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10.8</w:t>
            </w:r>
          </w:p>
        </w:tc>
        <w:tc>
          <w:tcPr>
            <w:tcW w:w="485"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无住宿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P833</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中等教育</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中等教育学校</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8</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14</w:t>
            </w:r>
          </w:p>
        </w:tc>
        <w:tc>
          <w:tcPr>
            <w:tcW w:w="485"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有住宿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P</w:t>
            </w:r>
            <w:r>
              <w:rPr>
                <w:rFonts w:hint="eastAsia" w:ascii="宋体" w:hAnsi="宋体"/>
                <w:sz w:val="18"/>
                <w:szCs w:val="18"/>
              </w:rPr>
              <w:t>834</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高等教育</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高等院校</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33</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50</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P</w:t>
            </w:r>
            <w:r>
              <w:rPr>
                <w:rFonts w:hint="eastAsia" w:ascii="宋体" w:hAnsi="宋体"/>
                <w:sz w:val="18"/>
                <w:szCs w:val="18"/>
              </w:rPr>
              <w:t>835</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特殊教育</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特殊教育学校</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15</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32.3</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P</w:t>
            </w:r>
            <w:r>
              <w:rPr>
                <w:rFonts w:hint="eastAsia" w:ascii="宋体" w:hAnsi="宋体"/>
                <w:sz w:val="18"/>
                <w:szCs w:val="18"/>
              </w:rPr>
              <w:t>839</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技能培训、教育辅助及其他教育</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职业技能培训学校</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w:t>
            </w:r>
            <w:r>
              <w:rPr>
                <w:rFonts w:hint="eastAsia" w:ascii="宋体" w:hAnsi="宋体"/>
                <w:sz w:val="18"/>
                <w:szCs w:val="18"/>
              </w:rPr>
              <w:t>（人</w:t>
            </w:r>
            <w:r>
              <w:rPr>
                <w:rFonts w:ascii="宋体" w:hAnsi="宋体"/>
                <w:sz w:val="18"/>
                <w:szCs w:val="18"/>
              </w:rPr>
              <w:t>·a</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8</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13</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shd w:val="clear" w:color="auto" w:fill="auto"/>
            <w:vAlign w:val="center"/>
          </w:tcPr>
          <w:p>
            <w:pPr>
              <w:spacing w:line="240" w:lineRule="auto"/>
              <w:jc w:val="center"/>
              <w:rPr>
                <w:rFonts w:ascii="宋体" w:hAnsi="宋体"/>
                <w:sz w:val="18"/>
                <w:szCs w:val="18"/>
              </w:rPr>
            </w:pPr>
            <w:r>
              <w:rPr>
                <w:rFonts w:ascii="宋体" w:hAnsi="宋体"/>
                <w:sz w:val="18"/>
                <w:szCs w:val="18"/>
              </w:rPr>
              <w:t>Q</w:t>
            </w:r>
            <w:r>
              <w:rPr>
                <w:rFonts w:hint="eastAsia" w:ascii="宋体" w:hAnsi="宋体"/>
                <w:sz w:val="18"/>
                <w:szCs w:val="18"/>
              </w:rPr>
              <w:t>84</w:t>
            </w:r>
          </w:p>
        </w:tc>
        <w:tc>
          <w:tcPr>
            <w:tcW w:w="410" w:type="pct"/>
            <w:shd w:val="clear" w:color="auto" w:fill="auto"/>
            <w:vAlign w:val="center"/>
          </w:tcPr>
          <w:p>
            <w:pPr>
              <w:spacing w:line="240" w:lineRule="auto"/>
              <w:jc w:val="center"/>
              <w:rPr>
                <w:rFonts w:ascii="宋体" w:hAnsi="宋体"/>
                <w:sz w:val="18"/>
                <w:szCs w:val="18"/>
              </w:rPr>
            </w:pP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卫生</w:t>
            </w:r>
          </w:p>
        </w:tc>
        <w:tc>
          <w:tcPr>
            <w:tcW w:w="884" w:type="pct"/>
            <w:shd w:val="clear" w:color="auto" w:fill="auto"/>
            <w:vAlign w:val="center"/>
          </w:tcPr>
          <w:p>
            <w:pPr>
              <w:spacing w:line="240" w:lineRule="auto"/>
              <w:jc w:val="center"/>
              <w:rPr>
                <w:rFonts w:ascii="宋体" w:hAnsi="宋体"/>
                <w:sz w:val="18"/>
                <w:szCs w:val="18"/>
              </w:rPr>
            </w:pPr>
          </w:p>
        </w:tc>
        <w:tc>
          <w:tcPr>
            <w:tcW w:w="749" w:type="pct"/>
            <w:shd w:val="clear" w:color="auto" w:fill="auto"/>
            <w:vAlign w:val="center"/>
          </w:tcPr>
          <w:p>
            <w:pPr>
              <w:spacing w:line="240" w:lineRule="auto"/>
              <w:jc w:val="center"/>
              <w:rPr>
                <w:rFonts w:ascii="宋体" w:hAnsi="宋体"/>
                <w:sz w:val="18"/>
                <w:szCs w:val="18"/>
              </w:rPr>
            </w:pPr>
          </w:p>
        </w:tc>
        <w:tc>
          <w:tcPr>
            <w:tcW w:w="488" w:type="pct"/>
            <w:shd w:val="clear" w:color="auto" w:fill="auto"/>
            <w:vAlign w:val="center"/>
          </w:tcPr>
          <w:p>
            <w:pPr>
              <w:spacing w:line="240" w:lineRule="auto"/>
              <w:jc w:val="center"/>
              <w:rPr>
                <w:rFonts w:ascii="宋体" w:hAnsi="宋体"/>
                <w:sz w:val="18"/>
                <w:szCs w:val="18"/>
              </w:rPr>
            </w:pPr>
          </w:p>
        </w:tc>
        <w:tc>
          <w:tcPr>
            <w:tcW w:w="492" w:type="pct"/>
            <w:shd w:val="clear" w:color="auto" w:fill="auto"/>
            <w:vAlign w:val="center"/>
          </w:tcPr>
          <w:p>
            <w:pPr>
              <w:spacing w:line="240" w:lineRule="auto"/>
              <w:jc w:val="center"/>
              <w:rPr>
                <w:rFonts w:ascii="宋体" w:hAnsi="宋体"/>
                <w:sz w:val="18"/>
                <w:szCs w:val="18"/>
              </w:rPr>
            </w:pP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restart"/>
            <w:shd w:val="clear" w:color="auto" w:fill="auto"/>
            <w:vAlign w:val="center"/>
          </w:tcPr>
          <w:p>
            <w:pPr>
              <w:spacing w:line="240" w:lineRule="auto"/>
              <w:jc w:val="center"/>
              <w:rPr>
                <w:rFonts w:ascii="宋体" w:hAnsi="宋体"/>
                <w:sz w:val="18"/>
                <w:szCs w:val="18"/>
              </w:rPr>
            </w:pPr>
          </w:p>
        </w:tc>
        <w:tc>
          <w:tcPr>
            <w:tcW w:w="410" w:type="pct"/>
            <w:vMerge w:val="restart"/>
            <w:shd w:val="clear" w:color="auto" w:fill="auto"/>
            <w:vAlign w:val="center"/>
          </w:tcPr>
          <w:p>
            <w:pPr>
              <w:spacing w:line="240" w:lineRule="auto"/>
              <w:jc w:val="center"/>
              <w:rPr>
                <w:rFonts w:ascii="宋体" w:hAnsi="宋体"/>
                <w:sz w:val="18"/>
                <w:szCs w:val="18"/>
              </w:rPr>
            </w:pPr>
            <w:r>
              <w:rPr>
                <w:rFonts w:ascii="宋体" w:hAnsi="宋体"/>
                <w:sz w:val="18"/>
                <w:szCs w:val="18"/>
              </w:rPr>
              <w:t>Q</w:t>
            </w:r>
            <w:r>
              <w:rPr>
                <w:rFonts w:hint="eastAsia" w:ascii="宋体" w:hAnsi="宋体"/>
                <w:sz w:val="18"/>
                <w:szCs w:val="18"/>
              </w:rPr>
              <w:t>841</w:t>
            </w:r>
          </w:p>
        </w:tc>
        <w:tc>
          <w:tcPr>
            <w:tcW w:w="982" w:type="pct"/>
            <w:vMerge w:val="restart"/>
            <w:shd w:val="clear" w:color="auto" w:fill="auto"/>
            <w:vAlign w:val="center"/>
          </w:tcPr>
          <w:p>
            <w:pPr>
              <w:spacing w:line="240" w:lineRule="auto"/>
              <w:jc w:val="center"/>
              <w:rPr>
                <w:rFonts w:ascii="宋体" w:hAnsi="宋体"/>
                <w:sz w:val="18"/>
                <w:szCs w:val="18"/>
              </w:rPr>
            </w:pPr>
            <w:r>
              <w:rPr>
                <w:rFonts w:hint="eastAsia" w:ascii="宋体" w:hAnsi="宋体"/>
                <w:sz w:val="18"/>
                <w:szCs w:val="18"/>
              </w:rPr>
              <w:t>医院</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三级医院</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/（床</w:t>
            </w:r>
            <w:r>
              <w:rPr>
                <w:rFonts w:ascii="宋体" w:hAnsi="宋体"/>
                <w:sz w:val="18"/>
                <w:szCs w:val="18"/>
              </w:rPr>
              <w:t>·d</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440</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804</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vMerge w:val="continue"/>
            <w:vAlign w:val="center"/>
          </w:tcPr>
          <w:p>
            <w:pPr>
              <w:spacing w:line="240" w:lineRule="auto"/>
              <w:jc w:val="center"/>
              <w:rPr>
                <w:rFonts w:ascii="宋体" w:hAnsi="宋体"/>
                <w:sz w:val="18"/>
                <w:szCs w:val="18"/>
              </w:rPr>
            </w:pPr>
          </w:p>
        </w:tc>
        <w:tc>
          <w:tcPr>
            <w:tcW w:w="982" w:type="pct"/>
            <w:vMerge w:val="continue"/>
            <w:vAlign w:val="center"/>
          </w:tcPr>
          <w:p>
            <w:pPr>
              <w:spacing w:line="240" w:lineRule="auto"/>
              <w:jc w:val="center"/>
              <w:rPr>
                <w:rFonts w:ascii="宋体" w:hAnsi="宋体"/>
                <w:sz w:val="18"/>
                <w:szCs w:val="18"/>
              </w:rPr>
            </w:pP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二级医院</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/（床</w:t>
            </w:r>
            <w:r>
              <w:rPr>
                <w:rFonts w:ascii="宋体" w:hAnsi="宋体"/>
                <w:sz w:val="18"/>
                <w:szCs w:val="18"/>
              </w:rPr>
              <w:t>·d</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340</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540</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vMerge w:val="continue"/>
            <w:vAlign w:val="center"/>
          </w:tcPr>
          <w:p>
            <w:pPr>
              <w:spacing w:line="240" w:lineRule="auto"/>
              <w:jc w:val="center"/>
              <w:rPr>
                <w:rFonts w:ascii="宋体" w:hAnsi="宋体"/>
                <w:sz w:val="18"/>
                <w:szCs w:val="18"/>
              </w:rPr>
            </w:pPr>
          </w:p>
        </w:tc>
        <w:tc>
          <w:tcPr>
            <w:tcW w:w="982" w:type="pct"/>
            <w:vMerge w:val="continue"/>
            <w:vAlign w:val="center"/>
          </w:tcPr>
          <w:p>
            <w:pPr>
              <w:spacing w:line="240" w:lineRule="auto"/>
              <w:jc w:val="center"/>
              <w:rPr>
                <w:rFonts w:ascii="宋体" w:hAnsi="宋体"/>
                <w:sz w:val="18"/>
                <w:szCs w:val="18"/>
              </w:rPr>
            </w:pP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一级医院</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L</w:t>
            </w:r>
            <w:r>
              <w:rPr>
                <w:rFonts w:hint="eastAsia" w:ascii="宋体" w:hAnsi="宋体"/>
                <w:sz w:val="18"/>
                <w:szCs w:val="18"/>
              </w:rPr>
              <w:t>/（床</w:t>
            </w:r>
            <w:r>
              <w:rPr>
                <w:rFonts w:ascii="宋体" w:hAnsi="宋体"/>
                <w:sz w:val="18"/>
                <w:szCs w:val="18"/>
              </w:rPr>
              <w:t>·d</w:t>
            </w:r>
            <w:r>
              <w:rPr>
                <w:rFonts w:hint="eastAsia" w:ascii="宋体" w:hAnsi="宋体"/>
                <w:sz w:val="18"/>
                <w:szCs w:val="18"/>
              </w:rPr>
              <w:t>）</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296</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435</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shd w:val="clear" w:color="auto" w:fill="auto"/>
            <w:vAlign w:val="center"/>
          </w:tcPr>
          <w:p>
            <w:pPr>
              <w:spacing w:line="240" w:lineRule="auto"/>
              <w:jc w:val="center"/>
              <w:rPr>
                <w:rFonts w:ascii="宋体" w:hAnsi="宋体"/>
                <w:sz w:val="18"/>
                <w:szCs w:val="18"/>
              </w:rPr>
            </w:pPr>
            <w:r>
              <w:rPr>
                <w:rFonts w:ascii="宋体" w:hAnsi="宋体"/>
                <w:sz w:val="18"/>
                <w:szCs w:val="18"/>
              </w:rPr>
              <w:t>R</w:t>
            </w:r>
            <w:r>
              <w:rPr>
                <w:rFonts w:hint="eastAsia" w:ascii="宋体" w:hAnsi="宋体"/>
                <w:sz w:val="18"/>
                <w:szCs w:val="18"/>
              </w:rPr>
              <w:t>88</w:t>
            </w:r>
          </w:p>
        </w:tc>
        <w:tc>
          <w:tcPr>
            <w:tcW w:w="410" w:type="pct"/>
            <w:shd w:val="clear" w:color="auto" w:fill="auto"/>
            <w:vAlign w:val="center"/>
          </w:tcPr>
          <w:p>
            <w:pPr>
              <w:spacing w:line="240" w:lineRule="auto"/>
              <w:jc w:val="center"/>
              <w:rPr>
                <w:rFonts w:ascii="宋体" w:hAnsi="宋体"/>
                <w:sz w:val="18"/>
                <w:szCs w:val="18"/>
              </w:rPr>
            </w:pP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文化艺术业</w:t>
            </w:r>
          </w:p>
        </w:tc>
        <w:tc>
          <w:tcPr>
            <w:tcW w:w="884" w:type="pct"/>
            <w:shd w:val="clear" w:color="auto" w:fill="auto"/>
            <w:vAlign w:val="center"/>
          </w:tcPr>
          <w:p>
            <w:pPr>
              <w:spacing w:line="240" w:lineRule="auto"/>
              <w:jc w:val="center"/>
              <w:rPr>
                <w:rFonts w:ascii="宋体" w:hAnsi="宋体"/>
                <w:sz w:val="18"/>
                <w:szCs w:val="18"/>
              </w:rPr>
            </w:pPr>
          </w:p>
        </w:tc>
        <w:tc>
          <w:tcPr>
            <w:tcW w:w="749" w:type="pct"/>
            <w:shd w:val="clear" w:color="auto" w:fill="auto"/>
            <w:vAlign w:val="center"/>
          </w:tcPr>
          <w:p>
            <w:pPr>
              <w:spacing w:line="240" w:lineRule="auto"/>
              <w:jc w:val="center"/>
              <w:rPr>
                <w:rFonts w:ascii="宋体" w:hAnsi="宋体"/>
                <w:sz w:val="18"/>
                <w:szCs w:val="18"/>
              </w:rPr>
            </w:pPr>
          </w:p>
        </w:tc>
        <w:tc>
          <w:tcPr>
            <w:tcW w:w="488" w:type="pct"/>
            <w:shd w:val="clear" w:color="auto" w:fill="auto"/>
            <w:vAlign w:val="center"/>
          </w:tcPr>
          <w:p>
            <w:pPr>
              <w:spacing w:line="240" w:lineRule="auto"/>
              <w:jc w:val="center"/>
              <w:rPr>
                <w:rFonts w:ascii="宋体" w:hAnsi="宋体"/>
                <w:sz w:val="18"/>
                <w:szCs w:val="18"/>
              </w:rPr>
            </w:pPr>
          </w:p>
        </w:tc>
        <w:tc>
          <w:tcPr>
            <w:tcW w:w="492" w:type="pct"/>
            <w:shd w:val="clear" w:color="auto" w:fill="auto"/>
            <w:vAlign w:val="center"/>
          </w:tcPr>
          <w:p>
            <w:pPr>
              <w:spacing w:line="240" w:lineRule="auto"/>
              <w:jc w:val="center"/>
              <w:rPr>
                <w:rFonts w:ascii="宋体" w:hAnsi="宋体"/>
                <w:sz w:val="18"/>
                <w:szCs w:val="18"/>
              </w:rPr>
            </w:pP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restart"/>
            <w:shd w:val="clear" w:color="auto" w:fill="auto"/>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R</w:t>
            </w:r>
            <w:r>
              <w:rPr>
                <w:rFonts w:hint="eastAsia" w:ascii="宋体" w:hAnsi="宋体"/>
                <w:sz w:val="18"/>
                <w:szCs w:val="18"/>
              </w:rPr>
              <w:t>883</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图书馆与档案馆</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图书馆、档案馆</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/（m</w:t>
            </w:r>
            <w:r>
              <w:rPr>
                <w:rFonts w:ascii="宋体" w:hAnsi="宋体"/>
                <w:sz w:val="18"/>
                <w:szCs w:val="18"/>
                <w:vertAlign w:val="superscript"/>
              </w:rPr>
              <w:t>2</w:t>
            </w:r>
            <w:r>
              <w:rPr>
                <w:rFonts w:ascii="宋体" w:hAnsi="宋体"/>
                <w:sz w:val="18"/>
                <w:szCs w:val="18"/>
              </w:rPr>
              <w:t>·a）</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1.3</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1.8</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Merge w:val="continue"/>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R</w:t>
            </w:r>
            <w:r>
              <w:rPr>
                <w:rFonts w:hint="eastAsia" w:ascii="宋体" w:hAnsi="宋体"/>
                <w:sz w:val="18"/>
                <w:szCs w:val="18"/>
              </w:rPr>
              <w:t>885</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博物馆</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博物馆</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/（m</w:t>
            </w:r>
            <w:r>
              <w:rPr>
                <w:rFonts w:ascii="宋体" w:hAnsi="宋体"/>
                <w:sz w:val="18"/>
                <w:szCs w:val="18"/>
                <w:vertAlign w:val="superscript"/>
              </w:rPr>
              <w:t>2</w:t>
            </w:r>
            <w:r>
              <w:rPr>
                <w:rFonts w:ascii="宋体" w:hAnsi="宋体"/>
                <w:sz w:val="18"/>
                <w:szCs w:val="18"/>
              </w:rPr>
              <w:t>·a）</w:t>
            </w:r>
          </w:p>
        </w:tc>
        <w:tc>
          <w:tcPr>
            <w:tcW w:w="488" w:type="pct"/>
            <w:shd w:val="clear" w:color="auto" w:fill="auto"/>
            <w:vAlign w:val="center"/>
          </w:tcPr>
          <w:p>
            <w:pPr>
              <w:spacing w:line="240" w:lineRule="auto"/>
              <w:jc w:val="center"/>
              <w:rPr>
                <w:rFonts w:ascii="宋体" w:hAnsi="宋体"/>
                <w:sz w:val="18"/>
                <w:szCs w:val="18"/>
              </w:rPr>
            </w:pPr>
            <w:r>
              <w:rPr>
                <w:rFonts w:ascii="宋体" w:hAnsi="宋体"/>
                <w:sz w:val="18"/>
                <w:szCs w:val="18"/>
              </w:rPr>
              <w:t>1.5</w:t>
            </w:r>
          </w:p>
        </w:tc>
        <w:tc>
          <w:tcPr>
            <w:tcW w:w="492" w:type="pct"/>
            <w:shd w:val="clear" w:color="auto" w:fill="auto"/>
            <w:vAlign w:val="center"/>
          </w:tcPr>
          <w:p>
            <w:pPr>
              <w:spacing w:line="240" w:lineRule="auto"/>
              <w:jc w:val="center"/>
              <w:rPr>
                <w:rFonts w:ascii="宋体" w:hAnsi="宋体"/>
                <w:sz w:val="18"/>
                <w:szCs w:val="18"/>
              </w:rPr>
            </w:pPr>
            <w:r>
              <w:rPr>
                <w:rFonts w:ascii="宋体" w:hAnsi="宋体"/>
                <w:sz w:val="18"/>
                <w:szCs w:val="18"/>
              </w:rPr>
              <w:t>1.8</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Align w:val="center"/>
          </w:tcPr>
          <w:p>
            <w:pPr>
              <w:spacing w:line="240" w:lineRule="auto"/>
              <w:jc w:val="center"/>
              <w:rPr>
                <w:rFonts w:ascii="宋体" w:hAnsi="宋体"/>
                <w:sz w:val="18"/>
                <w:szCs w:val="18"/>
              </w:rPr>
            </w:pPr>
          </w:p>
        </w:tc>
        <w:tc>
          <w:tcPr>
            <w:tcW w:w="410" w:type="pct"/>
            <w:shd w:val="clear" w:color="auto" w:fill="auto"/>
            <w:vAlign w:val="center"/>
          </w:tcPr>
          <w:p>
            <w:pPr>
              <w:spacing w:line="240" w:lineRule="auto"/>
              <w:jc w:val="center"/>
              <w:rPr>
                <w:rFonts w:ascii="宋体" w:hAnsi="宋体"/>
                <w:sz w:val="18"/>
                <w:szCs w:val="18"/>
              </w:rPr>
            </w:pPr>
            <w:r>
              <w:rPr>
                <w:rFonts w:ascii="宋体" w:hAnsi="宋体"/>
                <w:sz w:val="18"/>
                <w:szCs w:val="18"/>
              </w:rPr>
              <w:t>R</w:t>
            </w:r>
            <w:r>
              <w:rPr>
                <w:rFonts w:hint="eastAsia" w:ascii="宋体" w:hAnsi="宋体"/>
                <w:sz w:val="18"/>
                <w:szCs w:val="18"/>
              </w:rPr>
              <w:t>886</w:t>
            </w: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烈士陵园、纪念馆</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纪念馆</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/（m</w:t>
            </w:r>
            <w:r>
              <w:rPr>
                <w:rFonts w:ascii="宋体" w:hAnsi="宋体"/>
                <w:sz w:val="18"/>
                <w:szCs w:val="18"/>
                <w:vertAlign w:val="superscript"/>
              </w:rPr>
              <w:t>2</w:t>
            </w:r>
            <w:r>
              <w:rPr>
                <w:rFonts w:ascii="宋体" w:hAnsi="宋体"/>
                <w:sz w:val="18"/>
                <w:szCs w:val="18"/>
              </w:rPr>
              <w:t>·a）</w:t>
            </w:r>
          </w:p>
        </w:tc>
        <w:tc>
          <w:tcPr>
            <w:tcW w:w="488"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0.</w:t>
            </w:r>
            <w:r>
              <w:rPr>
                <w:rFonts w:ascii="宋体" w:hAnsi="宋体"/>
                <w:sz w:val="18"/>
                <w:szCs w:val="18"/>
              </w:rPr>
              <w:t>62</w:t>
            </w:r>
          </w:p>
        </w:tc>
        <w:tc>
          <w:tcPr>
            <w:tcW w:w="49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1.2</w:t>
            </w:r>
            <w:r>
              <w:rPr>
                <w:rFonts w:ascii="宋体" w:hAnsi="宋体"/>
                <w:sz w:val="18"/>
                <w:szCs w:val="18"/>
              </w:rPr>
              <w:t>6</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9" w:type="pct"/>
            <w:vAlign w:val="center"/>
          </w:tcPr>
          <w:p>
            <w:pPr>
              <w:spacing w:line="240" w:lineRule="auto"/>
              <w:jc w:val="center"/>
              <w:rPr>
                <w:rFonts w:ascii="宋体" w:hAnsi="宋体"/>
                <w:sz w:val="18"/>
                <w:szCs w:val="18"/>
              </w:rPr>
            </w:pPr>
            <w:r>
              <w:rPr>
                <w:rFonts w:ascii="宋体" w:hAnsi="宋体"/>
                <w:sz w:val="18"/>
                <w:szCs w:val="18"/>
              </w:rPr>
              <w:t>S</w:t>
            </w:r>
            <w:r>
              <w:rPr>
                <w:rFonts w:hint="eastAsia" w:ascii="宋体" w:hAnsi="宋体"/>
                <w:sz w:val="18"/>
                <w:szCs w:val="18"/>
              </w:rPr>
              <w:t>91</w:t>
            </w:r>
            <w:r>
              <w:rPr>
                <w:rFonts w:ascii="宋体" w:hAnsi="宋体"/>
                <w:sz w:val="18"/>
                <w:szCs w:val="18"/>
              </w:rPr>
              <w:t>～S96</w:t>
            </w:r>
            <w:r>
              <w:rPr>
                <w:rFonts w:hint="eastAsia" w:ascii="宋体" w:hAnsi="宋体"/>
                <w:sz w:val="18"/>
                <w:szCs w:val="18"/>
              </w:rPr>
              <w:t>、</w:t>
            </w:r>
            <w:r>
              <w:rPr>
                <w:rFonts w:ascii="宋体" w:hAnsi="宋体"/>
                <w:sz w:val="18"/>
                <w:szCs w:val="18"/>
              </w:rPr>
              <w:t>T97</w:t>
            </w:r>
          </w:p>
        </w:tc>
        <w:tc>
          <w:tcPr>
            <w:tcW w:w="410" w:type="pct"/>
            <w:shd w:val="clear" w:color="auto" w:fill="auto"/>
            <w:vAlign w:val="center"/>
          </w:tcPr>
          <w:p>
            <w:pPr>
              <w:spacing w:line="240" w:lineRule="auto"/>
              <w:jc w:val="center"/>
              <w:rPr>
                <w:rFonts w:ascii="宋体" w:hAnsi="宋体"/>
                <w:sz w:val="18"/>
                <w:szCs w:val="18"/>
              </w:rPr>
            </w:pPr>
          </w:p>
        </w:tc>
        <w:tc>
          <w:tcPr>
            <w:tcW w:w="98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中国共产党机关、国家机构等</w:t>
            </w:r>
          </w:p>
        </w:tc>
        <w:tc>
          <w:tcPr>
            <w:tcW w:w="884"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机关</w:t>
            </w:r>
          </w:p>
        </w:tc>
        <w:tc>
          <w:tcPr>
            <w:tcW w:w="749" w:type="pct"/>
            <w:shd w:val="clear" w:color="auto" w:fill="auto"/>
            <w:vAlign w:val="center"/>
          </w:tcPr>
          <w:p>
            <w:pPr>
              <w:spacing w:line="240" w:lineRule="auto"/>
              <w:jc w:val="center"/>
              <w:rPr>
                <w:rFonts w:ascii="宋体" w:hAnsi="宋体"/>
                <w:sz w:val="18"/>
                <w:szCs w:val="18"/>
              </w:rPr>
            </w:pPr>
            <w:r>
              <w:rPr>
                <w:rFonts w:ascii="宋体" w:hAnsi="宋体"/>
                <w:sz w:val="18"/>
                <w:szCs w:val="18"/>
              </w:rPr>
              <w:t>m</w:t>
            </w:r>
            <w:r>
              <w:rPr>
                <w:rFonts w:ascii="宋体" w:hAnsi="宋体"/>
                <w:sz w:val="18"/>
                <w:szCs w:val="18"/>
                <w:vertAlign w:val="superscript"/>
              </w:rPr>
              <w:t>3</w:t>
            </w:r>
            <w:r>
              <w:rPr>
                <w:rFonts w:ascii="宋体" w:hAnsi="宋体"/>
                <w:sz w:val="18"/>
                <w:szCs w:val="18"/>
              </w:rPr>
              <w:t>/（人·a）</w:t>
            </w:r>
          </w:p>
        </w:tc>
        <w:tc>
          <w:tcPr>
            <w:tcW w:w="488"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10</w:t>
            </w:r>
          </w:p>
        </w:tc>
        <w:tc>
          <w:tcPr>
            <w:tcW w:w="492" w:type="pct"/>
            <w:shd w:val="clear" w:color="auto" w:fill="auto"/>
            <w:vAlign w:val="center"/>
          </w:tcPr>
          <w:p>
            <w:pPr>
              <w:spacing w:line="240" w:lineRule="auto"/>
              <w:jc w:val="center"/>
              <w:rPr>
                <w:rFonts w:ascii="宋体" w:hAnsi="宋体"/>
                <w:sz w:val="18"/>
                <w:szCs w:val="18"/>
              </w:rPr>
            </w:pPr>
            <w:r>
              <w:rPr>
                <w:rFonts w:hint="eastAsia" w:ascii="宋体" w:hAnsi="宋体"/>
                <w:sz w:val="18"/>
                <w:szCs w:val="18"/>
              </w:rPr>
              <w:t>25</w:t>
            </w:r>
          </w:p>
        </w:tc>
        <w:tc>
          <w:tcPr>
            <w:tcW w:w="485" w:type="pct"/>
            <w:shd w:val="clear" w:color="auto" w:fill="auto"/>
            <w:vAlign w:val="center"/>
          </w:tcPr>
          <w:p>
            <w:pPr>
              <w:spacing w:line="24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0" w:hRule="atLeast"/>
          <w:jc w:val="center"/>
        </w:trPr>
        <w:tc>
          <w:tcPr>
            <w:tcW w:w="5000" w:type="pct"/>
            <w:gridSpan w:val="8"/>
            <w:vAlign w:val="center"/>
          </w:tcPr>
          <w:p>
            <w:pPr>
              <w:pStyle w:val="180"/>
            </w:pPr>
            <w:r>
              <w:rPr>
                <w:rFonts w:hint="eastAsia"/>
              </w:rPr>
              <w:t>先进值用于新建（改建、扩建）用水单位的水资源管理和节水评价等。</w:t>
            </w:r>
          </w:p>
          <w:p>
            <w:pPr>
              <w:pStyle w:val="180"/>
            </w:pPr>
            <w:r>
              <w:rPr>
                <w:rFonts w:hint="eastAsia"/>
              </w:rPr>
              <w:t>通用值用于现有用水单位的日常用水管理和节水管理。</w:t>
            </w:r>
          </w:p>
        </w:tc>
      </w:tr>
    </w:tbl>
    <w:p>
      <w:pPr>
        <w:pStyle w:val="104"/>
        <w:spacing w:before="312" w:after="312"/>
      </w:pPr>
      <w:r>
        <w:rPr>
          <w:rFonts w:hint="eastAsia"/>
        </w:rPr>
        <w:t>定额使用说明</w:t>
      </w:r>
    </w:p>
    <w:p>
      <w:pPr>
        <w:pStyle w:val="162"/>
      </w:pPr>
      <w:r>
        <w:rPr>
          <w:rFonts w:hint="eastAsia"/>
        </w:rPr>
        <w:t>服务业用水单位用水计量器具配置和管</w:t>
      </w:r>
      <w:r>
        <w:rPr>
          <w:rFonts w:hint="eastAsia" w:hAnsi="宋体"/>
        </w:rPr>
        <w:t>理应符合</w:t>
      </w:r>
      <w:r>
        <w:rPr>
          <w:rFonts w:hAnsi="宋体"/>
        </w:rPr>
        <w:t>GB</w:t>
      </w:r>
      <w:r>
        <w:rPr>
          <w:rFonts w:hint="eastAsia" w:hAnsi="宋体"/>
        </w:rPr>
        <w:t xml:space="preserve"> 24789的要</w:t>
      </w:r>
      <w:r>
        <w:rPr>
          <w:rFonts w:hint="eastAsia"/>
        </w:rPr>
        <w:t>求。</w:t>
      </w:r>
    </w:p>
    <w:p>
      <w:pPr>
        <w:pStyle w:val="162"/>
      </w:pPr>
      <w:r>
        <w:rPr>
          <w:rFonts w:hint="eastAsia"/>
        </w:rPr>
        <w:t>用水定额管理中，水平衡测试</w:t>
      </w:r>
      <w:r>
        <w:rPr>
          <w:rFonts w:hint="eastAsia" w:hAnsi="宋体"/>
        </w:rPr>
        <w:t>应符合</w:t>
      </w:r>
      <w:r>
        <w:rPr>
          <w:rFonts w:hAnsi="宋体"/>
        </w:rPr>
        <w:t>GB/T</w:t>
      </w:r>
      <w:r>
        <w:rPr>
          <w:rFonts w:hint="eastAsia" w:hAnsi="宋体"/>
        </w:rPr>
        <w:t xml:space="preserve"> 12452的</w:t>
      </w:r>
      <w:r>
        <w:rPr>
          <w:rFonts w:hint="eastAsia"/>
        </w:rPr>
        <w:t>要求。</w:t>
      </w:r>
    </w:p>
    <w:bookmarkEnd w:id="20"/>
    <w:p>
      <w:pPr>
        <w:pStyle w:val="56"/>
        <w:ind w:firstLine="0" w:firstLineChars="0"/>
        <w:jc w:val="center"/>
        <w:sectPr>
          <w:pgSz w:w="11906" w:h="16838"/>
          <w:pgMar w:top="1871" w:right="1134" w:bottom="1134" w:left="1134" w:header="1418" w:footer="1134" w:gutter="284"/>
          <w:pgNumType w:start="1"/>
          <w:cols w:space="425" w:num="1"/>
          <w:formProt w:val="0"/>
          <w:docGrid w:type="lines" w:linePitch="312" w:charSpace="0"/>
        </w:sectPr>
      </w:pPr>
      <w:bookmarkStart w:id="44" w:name="BookMark6"/>
    </w:p>
    <w:p>
      <w:pPr>
        <w:pStyle w:val="63"/>
        <w:spacing w:before="124" w:after="156"/>
      </w:pPr>
      <w:r>
        <w:rPr>
          <w:rFonts w:hint="eastAsia"/>
          <w:spacing w:val="105"/>
        </w:rPr>
        <w:t>参考文</w:t>
      </w:r>
      <w:r>
        <w:rPr>
          <w:rFonts w:hint="eastAsia"/>
        </w:rPr>
        <w:t>献</w:t>
      </w:r>
    </w:p>
    <w:p>
      <w:pPr>
        <w:pStyle w:val="56"/>
        <w:ind w:firstLine="420"/>
      </w:pPr>
      <w:r>
        <w:rPr>
          <w:rFonts w:hint="eastAsia"/>
        </w:rPr>
        <w:t>[1]　</w:t>
      </w:r>
      <w:r>
        <w:t>DB37/T 5105</w:t>
      </w:r>
      <w:r>
        <w:rPr>
          <w:rFonts w:hint="eastAsia"/>
        </w:rPr>
        <w:t>—</w:t>
      </w:r>
      <w:r>
        <w:t>2017</w:t>
      </w:r>
      <w:r>
        <w:rPr>
          <w:rFonts w:hint="eastAsia"/>
        </w:rPr>
        <w:t>　山东省城市生活用水量标准</w:t>
      </w:r>
    </w:p>
    <w:p>
      <w:pPr>
        <w:pStyle w:val="56"/>
        <w:ind w:firstLine="420"/>
      </w:pPr>
      <w:r>
        <w:rPr>
          <w:rFonts w:hint="eastAsia"/>
        </w:rPr>
        <w:t>[2]　《水利部关于印发宾馆等三项服务业用水定额的通知》（水节约〔2019〕284号）</w:t>
      </w:r>
    </w:p>
    <w:p>
      <w:pPr>
        <w:pStyle w:val="56"/>
        <w:ind w:firstLine="420"/>
      </w:pPr>
      <w:r>
        <w:rPr>
          <w:rFonts w:hint="eastAsia"/>
        </w:rPr>
        <w:t>[3]　《水利部关于印发小麦等十项用水定额的通知》（水节约〔2020〕9号）</w:t>
      </w:r>
    </w:p>
    <w:p>
      <w:pPr>
        <w:pStyle w:val="56"/>
        <w:ind w:firstLine="420"/>
      </w:pPr>
      <w:r>
        <w:rPr>
          <w:rFonts w:hint="eastAsia"/>
        </w:rPr>
        <w:t>[4]　《水利部关于印发综合医院等十一项服务业用水定额的通知》（水节约〔2021〕107号）</w:t>
      </w:r>
    </w:p>
    <w:bookmarkEnd w:id="44"/>
    <w:p>
      <w:pPr>
        <w:pStyle w:val="56"/>
        <w:ind w:firstLine="0" w:firstLineChars="0"/>
        <w:jc w:val="center"/>
      </w:pPr>
      <w:bookmarkStart w:id="45" w:name="BookMark8"/>
      <w:r>
        <w:drawing>
          <wp:inline distT="0" distB="0" distL="0" distR="0">
            <wp:extent cx="1485900" cy="3175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stretch>
                      <a:fillRect/>
                    </a:stretch>
                  </pic:blipFill>
                  <pic:spPr>
                    <a:xfrm>
                      <a:off x="0" y="0"/>
                      <a:ext cx="1485900" cy="317500"/>
                    </a:xfrm>
                    <a:prstGeom prst="rect">
                      <a:avLst/>
                    </a:prstGeom>
                  </pic:spPr>
                </pic:pic>
              </a:graphicData>
            </a:graphic>
          </wp:inline>
        </w:drawing>
      </w:r>
      <w:bookmarkEnd w:id="45"/>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DB37/T 4452—2021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DB37/T 4452—2021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2"/>
      <w:suff w:val="nothing"/>
      <w:lvlText w:val="%1.%2.%3　"/>
      <w:lvlJc w:val="left"/>
      <w:pPr>
        <w:ind w:left="567" w:firstLine="0"/>
      </w:pPr>
      <w:rPr>
        <w:rFonts w:hint="eastAsia" w:ascii="黑体" w:hAnsi="Times New Roman" w:eastAsia="黑体"/>
        <w:b w:val="0"/>
        <w:i w:val="0"/>
        <w:sz w:val="21"/>
      </w:rPr>
    </w:lvl>
    <w:lvl w:ilvl="3" w:tentative="0">
      <w:start w:val="1"/>
      <w:numFmt w:val="decimal"/>
      <w:pStyle w:val="233"/>
      <w:suff w:val="nothing"/>
      <w:lvlText w:val="%1.%2.%3.%4　"/>
      <w:lvlJc w:val="left"/>
      <w:pPr>
        <w:ind w:left="0" w:firstLine="0"/>
      </w:pPr>
      <w:rPr>
        <w:rFonts w:hint="eastAsia" w:ascii="黑体" w:hAnsi="Times New Roman" w:eastAsia="黑体"/>
        <w:b w:val="0"/>
        <w:i w:val="0"/>
        <w:sz w:val="21"/>
      </w:rPr>
    </w:lvl>
    <w:lvl w:ilvl="4" w:tentative="0">
      <w:start w:val="1"/>
      <w:numFmt w:val="decimal"/>
      <w:pStyle w:val="234"/>
      <w:suff w:val="nothing"/>
      <w:lvlText w:val="%1.%2.%3.%4.%5　"/>
      <w:lvlJc w:val="left"/>
      <w:pPr>
        <w:ind w:left="0" w:firstLine="0"/>
      </w:pPr>
      <w:rPr>
        <w:rFonts w:hint="eastAsia" w:ascii="黑体" w:hAnsi="Times New Roman" w:eastAsia="黑体"/>
        <w:b w:val="0"/>
        <w:i w:val="0"/>
        <w:sz w:val="21"/>
      </w:rPr>
    </w:lvl>
    <w:lvl w:ilvl="5" w:tentative="0">
      <w:start w:val="1"/>
      <w:numFmt w:val="decimal"/>
      <w:pStyle w:val="2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2694" w:firstLine="0"/>
      </w:pPr>
      <w:rPr>
        <w:rFonts w:ascii="黑体" w:hAnsi="黑体" w:eastAsia="黑体"/>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2069"/>
    <w:rsid w:val="0000040A"/>
    <w:rsid w:val="00000A94"/>
    <w:rsid w:val="00001972"/>
    <w:rsid w:val="00001D9A"/>
    <w:rsid w:val="00001F3A"/>
    <w:rsid w:val="00007B3A"/>
    <w:rsid w:val="000107E0"/>
    <w:rsid w:val="00011FDE"/>
    <w:rsid w:val="00012FFD"/>
    <w:rsid w:val="00014162"/>
    <w:rsid w:val="00014340"/>
    <w:rsid w:val="00016A9C"/>
    <w:rsid w:val="00022184"/>
    <w:rsid w:val="00022762"/>
    <w:rsid w:val="000238E0"/>
    <w:rsid w:val="00023BC8"/>
    <w:rsid w:val="000249DB"/>
    <w:rsid w:val="0002595E"/>
    <w:rsid w:val="000303C3"/>
    <w:rsid w:val="000304A2"/>
    <w:rsid w:val="000331D3"/>
    <w:rsid w:val="000343ED"/>
    <w:rsid w:val="000346A5"/>
    <w:rsid w:val="000359C3"/>
    <w:rsid w:val="00035A7D"/>
    <w:rsid w:val="0004249A"/>
    <w:rsid w:val="00043282"/>
    <w:rsid w:val="00044286"/>
    <w:rsid w:val="0004730F"/>
    <w:rsid w:val="00047F28"/>
    <w:rsid w:val="000503AA"/>
    <w:rsid w:val="000504EF"/>
    <w:rsid w:val="000506A1"/>
    <w:rsid w:val="000515DD"/>
    <w:rsid w:val="00052235"/>
    <w:rsid w:val="0005265A"/>
    <w:rsid w:val="00052FE5"/>
    <w:rsid w:val="000539DD"/>
    <w:rsid w:val="00053BD3"/>
    <w:rsid w:val="000556ED"/>
    <w:rsid w:val="00055FE2"/>
    <w:rsid w:val="0005616F"/>
    <w:rsid w:val="00056320"/>
    <w:rsid w:val="00057600"/>
    <w:rsid w:val="00060C2E"/>
    <w:rsid w:val="00061033"/>
    <w:rsid w:val="000619E9"/>
    <w:rsid w:val="000622D4"/>
    <w:rsid w:val="0006357D"/>
    <w:rsid w:val="0006568C"/>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CD2"/>
    <w:rsid w:val="00096D63"/>
    <w:rsid w:val="000A0B60"/>
    <w:rsid w:val="000A0EB8"/>
    <w:rsid w:val="000A19FC"/>
    <w:rsid w:val="000A296B"/>
    <w:rsid w:val="000A7311"/>
    <w:rsid w:val="000B060F"/>
    <w:rsid w:val="000B1592"/>
    <w:rsid w:val="000B1E62"/>
    <w:rsid w:val="000B1FF2"/>
    <w:rsid w:val="000B3CDA"/>
    <w:rsid w:val="000B567B"/>
    <w:rsid w:val="000B6A0B"/>
    <w:rsid w:val="000C0F6C"/>
    <w:rsid w:val="000C11DB"/>
    <w:rsid w:val="000C1492"/>
    <w:rsid w:val="000C2FBD"/>
    <w:rsid w:val="000C420F"/>
    <w:rsid w:val="000C4B41"/>
    <w:rsid w:val="000C57D6"/>
    <w:rsid w:val="000C6362"/>
    <w:rsid w:val="000C7666"/>
    <w:rsid w:val="000D0A9C"/>
    <w:rsid w:val="000D165C"/>
    <w:rsid w:val="000D1795"/>
    <w:rsid w:val="000D329A"/>
    <w:rsid w:val="000D4B9C"/>
    <w:rsid w:val="000D4EB6"/>
    <w:rsid w:val="000D753B"/>
    <w:rsid w:val="000E4C9E"/>
    <w:rsid w:val="000E6FD7"/>
    <w:rsid w:val="000F06E1"/>
    <w:rsid w:val="000F0E3C"/>
    <w:rsid w:val="000F19D5"/>
    <w:rsid w:val="000F29F2"/>
    <w:rsid w:val="000F4AEA"/>
    <w:rsid w:val="000F5C8C"/>
    <w:rsid w:val="000F67E9"/>
    <w:rsid w:val="00101D26"/>
    <w:rsid w:val="00104926"/>
    <w:rsid w:val="001064EF"/>
    <w:rsid w:val="0010760B"/>
    <w:rsid w:val="00110581"/>
    <w:rsid w:val="00113B1E"/>
    <w:rsid w:val="0011711C"/>
    <w:rsid w:val="00124E4F"/>
    <w:rsid w:val="001260B7"/>
    <w:rsid w:val="001265CB"/>
    <w:rsid w:val="001321C6"/>
    <w:rsid w:val="001325C4"/>
    <w:rsid w:val="00133010"/>
    <w:rsid w:val="001338EE"/>
    <w:rsid w:val="00133AAE"/>
    <w:rsid w:val="00135323"/>
    <w:rsid w:val="001356C4"/>
    <w:rsid w:val="001372FC"/>
    <w:rsid w:val="00141114"/>
    <w:rsid w:val="00142969"/>
    <w:rsid w:val="001457E7"/>
    <w:rsid w:val="00145D9D"/>
    <w:rsid w:val="00146388"/>
    <w:rsid w:val="001529E5"/>
    <w:rsid w:val="00153C7E"/>
    <w:rsid w:val="00156B25"/>
    <w:rsid w:val="00156E1A"/>
    <w:rsid w:val="00157894"/>
    <w:rsid w:val="00157B55"/>
    <w:rsid w:val="0016147F"/>
    <w:rsid w:val="001642FA"/>
    <w:rsid w:val="001649EB"/>
    <w:rsid w:val="00164BAF"/>
    <w:rsid w:val="00164FA8"/>
    <w:rsid w:val="00165065"/>
    <w:rsid w:val="001653BC"/>
    <w:rsid w:val="00165434"/>
    <w:rsid w:val="0016580B"/>
    <w:rsid w:val="00165DFF"/>
    <w:rsid w:val="00165F49"/>
    <w:rsid w:val="00166B88"/>
    <w:rsid w:val="0016770A"/>
    <w:rsid w:val="00170804"/>
    <w:rsid w:val="001708E9"/>
    <w:rsid w:val="00171E28"/>
    <w:rsid w:val="0017340B"/>
    <w:rsid w:val="00173FB1"/>
    <w:rsid w:val="00176DFD"/>
    <w:rsid w:val="001852C9"/>
    <w:rsid w:val="00185EE7"/>
    <w:rsid w:val="00190087"/>
    <w:rsid w:val="001913C4"/>
    <w:rsid w:val="0019348F"/>
    <w:rsid w:val="00193A07"/>
    <w:rsid w:val="00194C95"/>
    <w:rsid w:val="00195C34"/>
    <w:rsid w:val="0019651E"/>
    <w:rsid w:val="00196EF5"/>
    <w:rsid w:val="001A1A53"/>
    <w:rsid w:val="001A234A"/>
    <w:rsid w:val="001A4CF3"/>
    <w:rsid w:val="001B06E8"/>
    <w:rsid w:val="001B71D0"/>
    <w:rsid w:val="001B71EE"/>
    <w:rsid w:val="001C04A8"/>
    <w:rsid w:val="001C2C03"/>
    <w:rsid w:val="001C42F7"/>
    <w:rsid w:val="001C49E5"/>
    <w:rsid w:val="001C680C"/>
    <w:rsid w:val="001C7B2F"/>
    <w:rsid w:val="001C7FEA"/>
    <w:rsid w:val="001D0499"/>
    <w:rsid w:val="001D0BBE"/>
    <w:rsid w:val="001D0ED4"/>
    <w:rsid w:val="001D212F"/>
    <w:rsid w:val="001D29D7"/>
    <w:rsid w:val="001D2DE7"/>
    <w:rsid w:val="001D411C"/>
    <w:rsid w:val="001E1B6A"/>
    <w:rsid w:val="001E2484"/>
    <w:rsid w:val="001E3644"/>
    <w:rsid w:val="001E3CC4"/>
    <w:rsid w:val="001E4882"/>
    <w:rsid w:val="001E73AB"/>
    <w:rsid w:val="001F092D"/>
    <w:rsid w:val="001F143A"/>
    <w:rsid w:val="001F1605"/>
    <w:rsid w:val="001F2508"/>
    <w:rsid w:val="001F4816"/>
    <w:rsid w:val="001F5EB4"/>
    <w:rsid w:val="001F69B4"/>
    <w:rsid w:val="001F77C7"/>
    <w:rsid w:val="00200183"/>
    <w:rsid w:val="00200333"/>
    <w:rsid w:val="0020107D"/>
    <w:rsid w:val="00202AA4"/>
    <w:rsid w:val="002031F7"/>
    <w:rsid w:val="002040E6"/>
    <w:rsid w:val="0020527B"/>
    <w:rsid w:val="0020556A"/>
    <w:rsid w:val="00205F2C"/>
    <w:rsid w:val="00210B15"/>
    <w:rsid w:val="0021418E"/>
    <w:rsid w:val="002142EA"/>
    <w:rsid w:val="002204BB"/>
    <w:rsid w:val="00220AC1"/>
    <w:rsid w:val="00221B79"/>
    <w:rsid w:val="00221C6B"/>
    <w:rsid w:val="002253A1"/>
    <w:rsid w:val="00225CF8"/>
    <w:rsid w:val="00226236"/>
    <w:rsid w:val="0022794E"/>
    <w:rsid w:val="00233D64"/>
    <w:rsid w:val="0023482A"/>
    <w:rsid w:val="002359CB"/>
    <w:rsid w:val="00236CAB"/>
    <w:rsid w:val="00237611"/>
    <w:rsid w:val="00240AE8"/>
    <w:rsid w:val="00243540"/>
    <w:rsid w:val="0024497B"/>
    <w:rsid w:val="0024515B"/>
    <w:rsid w:val="00246021"/>
    <w:rsid w:val="0024666E"/>
    <w:rsid w:val="00247F52"/>
    <w:rsid w:val="00250B25"/>
    <w:rsid w:val="00250BBE"/>
    <w:rsid w:val="002515C2"/>
    <w:rsid w:val="0025194F"/>
    <w:rsid w:val="00254B1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A58"/>
    <w:rsid w:val="0029298A"/>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59E"/>
    <w:rsid w:val="002A757F"/>
    <w:rsid w:val="002A7F44"/>
    <w:rsid w:val="002B0C40"/>
    <w:rsid w:val="002B1966"/>
    <w:rsid w:val="002B1F63"/>
    <w:rsid w:val="002B4508"/>
    <w:rsid w:val="002B5779"/>
    <w:rsid w:val="002B7332"/>
    <w:rsid w:val="002B7932"/>
    <w:rsid w:val="002B7F51"/>
    <w:rsid w:val="002C09E7"/>
    <w:rsid w:val="002C1E06"/>
    <w:rsid w:val="002C3F07"/>
    <w:rsid w:val="002C5278"/>
    <w:rsid w:val="002C7EBB"/>
    <w:rsid w:val="002D06C1"/>
    <w:rsid w:val="002D42B5"/>
    <w:rsid w:val="002D4F1A"/>
    <w:rsid w:val="002D6D93"/>
    <w:rsid w:val="002D6EC6"/>
    <w:rsid w:val="002D7644"/>
    <w:rsid w:val="002D79AC"/>
    <w:rsid w:val="002E039D"/>
    <w:rsid w:val="002E43BF"/>
    <w:rsid w:val="002E4D5A"/>
    <w:rsid w:val="002E6326"/>
    <w:rsid w:val="002E6867"/>
    <w:rsid w:val="002F30E0"/>
    <w:rsid w:val="002F35E4"/>
    <w:rsid w:val="002F3730"/>
    <w:rsid w:val="002F38E1"/>
    <w:rsid w:val="002F7AF6"/>
    <w:rsid w:val="00300106"/>
    <w:rsid w:val="00300E63"/>
    <w:rsid w:val="00302F5F"/>
    <w:rsid w:val="0030441D"/>
    <w:rsid w:val="00306063"/>
    <w:rsid w:val="00313B85"/>
    <w:rsid w:val="003168FD"/>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7B74"/>
    <w:rsid w:val="003615D2"/>
    <w:rsid w:val="00361AF9"/>
    <w:rsid w:val="0036201E"/>
    <w:rsid w:val="0036429C"/>
    <w:rsid w:val="00364A53"/>
    <w:rsid w:val="003654CB"/>
    <w:rsid w:val="00365AA9"/>
    <w:rsid w:val="00365F86"/>
    <w:rsid w:val="00365F87"/>
    <w:rsid w:val="00366E89"/>
    <w:rsid w:val="00367EBA"/>
    <w:rsid w:val="003705F4"/>
    <w:rsid w:val="00370D58"/>
    <w:rsid w:val="00371316"/>
    <w:rsid w:val="00375B90"/>
    <w:rsid w:val="00376713"/>
    <w:rsid w:val="00381815"/>
    <w:rsid w:val="003819AF"/>
    <w:rsid w:val="003820E9"/>
    <w:rsid w:val="00382DE7"/>
    <w:rsid w:val="00384FFC"/>
    <w:rsid w:val="003855DA"/>
    <w:rsid w:val="003872FC"/>
    <w:rsid w:val="00387ADC"/>
    <w:rsid w:val="00390020"/>
    <w:rsid w:val="003903D6"/>
    <w:rsid w:val="00390EE6"/>
    <w:rsid w:val="0039118F"/>
    <w:rsid w:val="00392AD7"/>
    <w:rsid w:val="003938D9"/>
    <w:rsid w:val="00394376"/>
    <w:rsid w:val="003943FF"/>
    <w:rsid w:val="00394438"/>
    <w:rsid w:val="003974EB"/>
    <w:rsid w:val="00397CC5"/>
    <w:rsid w:val="003A1582"/>
    <w:rsid w:val="003A4077"/>
    <w:rsid w:val="003A7202"/>
    <w:rsid w:val="003B09AD"/>
    <w:rsid w:val="003B1F18"/>
    <w:rsid w:val="003B5BF0"/>
    <w:rsid w:val="003B60BF"/>
    <w:rsid w:val="003B6BE3"/>
    <w:rsid w:val="003C010C"/>
    <w:rsid w:val="003C0A6C"/>
    <w:rsid w:val="003C14F8"/>
    <w:rsid w:val="003C41F3"/>
    <w:rsid w:val="003C5A43"/>
    <w:rsid w:val="003D0519"/>
    <w:rsid w:val="003D0FF6"/>
    <w:rsid w:val="003D262C"/>
    <w:rsid w:val="003D6D61"/>
    <w:rsid w:val="003E091D"/>
    <w:rsid w:val="003E1C53"/>
    <w:rsid w:val="003E2A69"/>
    <w:rsid w:val="003E2D49"/>
    <w:rsid w:val="003E2FD4"/>
    <w:rsid w:val="003E49F6"/>
    <w:rsid w:val="003E660F"/>
    <w:rsid w:val="003F0841"/>
    <w:rsid w:val="003F213A"/>
    <w:rsid w:val="003F23D3"/>
    <w:rsid w:val="003F3F08"/>
    <w:rsid w:val="003F49F1"/>
    <w:rsid w:val="003F6272"/>
    <w:rsid w:val="00400E72"/>
    <w:rsid w:val="00401400"/>
    <w:rsid w:val="00404869"/>
    <w:rsid w:val="00405884"/>
    <w:rsid w:val="00407BF2"/>
    <w:rsid w:val="00407D39"/>
    <w:rsid w:val="0041477A"/>
    <w:rsid w:val="004167A3"/>
    <w:rsid w:val="00432DAA"/>
    <w:rsid w:val="00434305"/>
    <w:rsid w:val="00435AFF"/>
    <w:rsid w:val="00435DF7"/>
    <w:rsid w:val="00436404"/>
    <w:rsid w:val="0044083F"/>
    <w:rsid w:val="00441AE7"/>
    <w:rsid w:val="00445574"/>
    <w:rsid w:val="004467FB"/>
    <w:rsid w:val="00450976"/>
    <w:rsid w:val="00452D6B"/>
    <w:rsid w:val="00454484"/>
    <w:rsid w:val="0045517B"/>
    <w:rsid w:val="00463B77"/>
    <w:rsid w:val="00463C7B"/>
    <w:rsid w:val="004644A6"/>
    <w:rsid w:val="00465887"/>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A67"/>
    <w:rsid w:val="004A1BA8"/>
    <w:rsid w:val="004A2FC7"/>
    <w:rsid w:val="004A4B57"/>
    <w:rsid w:val="004A63FA"/>
    <w:rsid w:val="004B0272"/>
    <w:rsid w:val="004B1841"/>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1D47"/>
    <w:rsid w:val="004F2180"/>
    <w:rsid w:val="004F391A"/>
    <w:rsid w:val="004F3991"/>
    <w:rsid w:val="004F3CFB"/>
    <w:rsid w:val="004F504D"/>
    <w:rsid w:val="004F61AA"/>
    <w:rsid w:val="004F6456"/>
    <w:rsid w:val="004F696E"/>
    <w:rsid w:val="004F6C71"/>
    <w:rsid w:val="00501139"/>
    <w:rsid w:val="0050363E"/>
    <w:rsid w:val="005039BC"/>
    <w:rsid w:val="00503FB9"/>
    <w:rsid w:val="005043BB"/>
    <w:rsid w:val="00504A3D"/>
    <w:rsid w:val="00505767"/>
    <w:rsid w:val="005073F0"/>
    <w:rsid w:val="00510434"/>
    <w:rsid w:val="00510A7B"/>
    <w:rsid w:val="00512F6E"/>
    <w:rsid w:val="00513038"/>
    <w:rsid w:val="00514174"/>
    <w:rsid w:val="00516088"/>
    <w:rsid w:val="00516B0B"/>
    <w:rsid w:val="0052162F"/>
    <w:rsid w:val="005220EC"/>
    <w:rsid w:val="00523F95"/>
    <w:rsid w:val="00524D65"/>
    <w:rsid w:val="00525B16"/>
    <w:rsid w:val="00533D04"/>
    <w:rsid w:val="00534804"/>
    <w:rsid w:val="00534BDF"/>
    <w:rsid w:val="005354EA"/>
    <w:rsid w:val="0053585F"/>
    <w:rsid w:val="00535EC4"/>
    <w:rsid w:val="00535ED9"/>
    <w:rsid w:val="0053692B"/>
    <w:rsid w:val="005379B5"/>
    <w:rsid w:val="005413C4"/>
    <w:rsid w:val="00541853"/>
    <w:rsid w:val="00543BDA"/>
    <w:rsid w:val="005441CC"/>
    <w:rsid w:val="005479DA"/>
    <w:rsid w:val="00547BCC"/>
    <w:rsid w:val="0055013B"/>
    <w:rsid w:val="00551F6F"/>
    <w:rsid w:val="00552DE4"/>
    <w:rsid w:val="00555044"/>
    <w:rsid w:val="00555A3D"/>
    <w:rsid w:val="00561475"/>
    <w:rsid w:val="005625AD"/>
    <w:rsid w:val="0056487B"/>
    <w:rsid w:val="00564FB9"/>
    <w:rsid w:val="00573D9E"/>
    <w:rsid w:val="005801E3"/>
    <w:rsid w:val="00581802"/>
    <w:rsid w:val="005832DF"/>
    <w:rsid w:val="005836A8"/>
    <w:rsid w:val="0058409C"/>
    <w:rsid w:val="00584262"/>
    <w:rsid w:val="00586630"/>
    <w:rsid w:val="00587ADD"/>
    <w:rsid w:val="00596087"/>
    <w:rsid w:val="00596160"/>
    <w:rsid w:val="005966E2"/>
    <w:rsid w:val="00597007"/>
    <w:rsid w:val="005A0966"/>
    <w:rsid w:val="005A11B7"/>
    <w:rsid w:val="005A260B"/>
    <w:rsid w:val="005A405D"/>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F97"/>
    <w:rsid w:val="005D4171"/>
    <w:rsid w:val="005D6A95"/>
    <w:rsid w:val="005D6B2C"/>
    <w:rsid w:val="005D6D9C"/>
    <w:rsid w:val="005E023F"/>
    <w:rsid w:val="005E15A4"/>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0D86"/>
    <w:rsid w:val="006252D8"/>
    <w:rsid w:val="006259BC"/>
    <w:rsid w:val="0062636B"/>
    <w:rsid w:val="00632182"/>
    <w:rsid w:val="00632AE0"/>
    <w:rsid w:val="00633C17"/>
    <w:rsid w:val="00636E3E"/>
    <w:rsid w:val="006379F7"/>
    <w:rsid w:val="00637E4D"/>
    <w:rsid w:val="00640620"/>
    <w:rsid w:val="00641A1F"/>
    <w:rsid w:val="00645567"/>
    <w:rsid w:val="00645904"/>
    <w:rsid w:val="00651ACB"/>
    <w:rsid w:val="00651C47"/>
    <w:rsid w:val="00652AB2"/>
    <w:rsid w:val="00652D90"/>
    <w:rsid w:val="00653FED"/>
    <w:rsid w:val="00654EC0"/>
    <w:rsid w:val="0065525B"/>
    <w:rsid w:val="00655D4F"/>
    <w:rsid w:val="00656D29"/>
    <w:rsid w:val="006640E5"/>
    <w:rsid w:val="006646F1"/>
    <w:rsid w:val="00664929"/>
    <w:rsid w:val="00664F62"/>
    <w:rsid w:val="006655E1"/>
    <w:rsid w:val="00672060"/>
    <w:rsid w:val="00672BFD"/>
    <w:rsid w:val="006764EF"/>
    <w:rsid w:val="00676D91"/>
    <w:rsid w:val="006770F4"/>
    <w:rsid w:val="00677A84"/>
    <w:rsid w:val="0068026D"/>
    <w:rsid w:val="00680A27"/>
    <w:rsid w:val="006816A4"/>
    <w:rsid w:val="006819B8"/>
    <w:rsid w:val="006840A6"/>
    <w:rsid w:val="006850CD"/>
    <w:rsid w:val="00685AAB"/>
    <w:rsid w:val="00697358"/>
    <w:rsid w:val="00697D77"/>
    <w:rsid w:val="006A07AA"/>
    <w:rsid w:val="006A25E5"/>
    <w:rsid w:val="006A2B46"/>
    <w:rsid w:val="006A336D"/>
    <w:rsid w:val="006A37B9"/>
    <w:rsid w:val="006B2672"/>
    <w:rsid w:val="006B373E"/>
    <w:rsid w:val="006B54BF"/>
    <w:rsid w:val="006B5F44"/>
    <w:rsid w:val="006B5F90"/>
    <w:rsid w:val="006B62E4"/>
    <w:rsid w:val="006C0533"/>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C54"/>
    <w:rsid w:val="00704387"/>
    <w:rsid w:val="00707669"/>
    <w:rsid w:val="00711CBA"/>
    <w:rsid w:val="00711FB5"/>
    <w:rsid w:val="00712A01"/>
    <w:rsid w:val="00714F58"/>
    <w:rsid w:val="00722FBF"/>
    <w:rsid w:val="00722FC2"/>
    <w:rsid w:val="00725949"/>
    <w:rsid w:val="00727FA2"/>
    <w:rsid w:val="007322D9"/>
    <w:rsid w:val="00732BC0"/>
    <w:rsid w:val="0073371A"/>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553"/>
    <w:rsid w:val="0076390A"/>
    <w:rsid w:val="00765C43"/>
    <w:rsid w:val="00765EFB"/>
    <w:rsid w:val="007671CA"/>
    <w:rsid w:val="00767C61"/>
    <w:rsid w:val="0077008A"/>
    <w:rsid w:val="007722D2"/>
    <w:rsid w:val="00773C1F"/>
    <w:rsid w:val="00774DA4"/>
    <w:rsid w:val="00776599"/>
    <w:rsid w:val="00777164"/>
    <w:rsid w:val="0078114B"/>
    <w:rsid w:val="00781DD2"/>
    <w:rsid w:val="00783E82"/>
    <w:rsid w:val="00783ECF"/>
    <w:rsid w:val="0078413A"/>
    <w:rsid w:val="0079141F"/>
    <w:rsid w:val="007959E8"/>
    <w:rsid w:val="00795E9C"/>
    <w:rsid w:val="007A0521"/>
    <w:rsid w:val="007A2E12"/>
    <w:rsid w:val="007A3475"/>
    <w:rsid w:val="007A41C8"/>
    <w:rsid w:val="007A54CE"/>
    <w:rsid w:val="007A6FD9"/>
    <w:rsid w:val="007A7FFA"/>
    <w:rsid w:val="007B04EB"/>
    <w:rsid w:val="007B0D4F"/>
    <w:rsid w:val="007B1B4B"/>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1DB5"/>
    <w:rsid w:val="007E2B6C"/>
    <w:rsid w:val="007E3B84"/>
    <w:rsid w:val="007E5BAD"/>
    <w:rsid w:val="007F0ED8"/>
    <w:rsid w:val="007F0F63"/>
    <w:rsid w:val="007F75CE"/>
    <w:rsid w:val="008013A4"/>
    <w:rsid w:val="008027CE"/>
    <w:rsid w:val="00802F42"/>
    <w:rsid w:val="00804383"/>
    <w:rsid w:val="00804BB7"/>
    <w:rsid w:val="00804D41"/>
    <w:rsid w:val="00810257"/>
    <w:rsid w:val="008104F5"/>
    <w:rsid w:val="00811072"/>
    <w:rsid w:val="00811369"/>
    <w:rsid w:val="0081498E"/>
    <w:rsid w:val="00815419"/>
    <w:rsid w:val="008163C8"/>
    <w:rsid w:val="008164A1"/>
    <w:rsid w:val="008170CE"/>
    <w:rsid w:val="00817325"/>
    <w:rsid w:val="008209E6"/>
    <w:rsid w:val="00823303"/>
    <w:rsid w:val="008233B2"/>
    <w:rsid w:val="00823469"/>
    <w:rsid w:val="00823A9F"/>
    <w:rsid w:val="00823C85"/>
    <w:rsid w:val="00825138"/>
    <w:rsid w:val="00825139"/>
    <w:rsid w:val="008269DD"/>
    <w:rsid w:val="00830621"/>
    <w:rsid w:val="0083348C"/>
    <w:rsid w:val="008373D3"/>
    <w:rsid w:val="00840617"/>
    <w:rsid w:val="00840F84"/>
    <w:rsid w:val="00842A47"/>
    <w:rsid w:val="00843C13"/>
    <w:rsid w:val="008454F8"/>
    <w:rsid w:val="00847AA7"/>
    <w:rsid w:val="0085173A"/>
    <w:rsid w:val="0085765A"/>
    <w:rsid w:val="008603CE"/>
    <w:rsid w:val="008620FC"/>
    <w:rsid w:val="008627A5"/>
    <w:rsid w:val="00863E05"/>
    <w:rsid w:val="00865ACA"/>
    <w:rsid w:val="00865D28"/>
    <w:rsid w:val="00865F85"/>
    <w:rsid w:val="00867A32"/>
    <w:rsid w:val="00867C10"/>
    <w:rsid w:val="00870439"/>
    <w:rsid w:val="00870DA1"/>
    <w:rsid w:val="00875745"/>
    <w:rsid w:val="0087775B"/>
    <w:rsid w:val="00883F93"/>
    <w:rsid w:val="00884DB3"/>
    <w:rsid w:val="00885A9D"/>
    <w:rsid w:val="008864F6"/>
    <w:rsid w:val="00887A4A"/>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6F21"/>
    <w:rsid w:val="008B7E05"/>
    <w:rsid w:val="008C1797"/>
    <w:rsid w:val="008C219C"/>
    <w:rsid w:val="008C3D99"/>
    <w:rsid w:val="008C475E"/>
    <w:rsid w:val="008C601D"/>
    <w:rsid w:val="008C619A"/>
    <w:rsid w:val="008C6846"/>
    <w:rsid w:val="008D0CE8"/>
    <w:rsid w:val="008D2D1D"/>
    <w:rsid w:val="008D30D6"/>
    <w:rsid w:val="008D3680"/>
    <w:rsid w:val="008D453D"/>
    <w:rsid w:val="008D53AD"/>
    <w:rsid w:val="008D556C"/>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968"/>
    <w:rsid w:val="00902722"/>
    <w:rsid w:val="009027BC"/>
    <w:rsid w:val="0090455A"/>
    <w:rsid w:val="009062E6"/>
    <w:rsid w:val="00911BE5"/>
    <w:rsid w:val="00913CA9"/>
    <w:rsid w:val="009145AE"/>
    <w:rsid w:val="009146CE"/>
    <w:rsid w:val="00914CA7"/>
    <w:rsid w:val="00915C3E"/>
    <w:rsid w:val="009161A8"/>
    <w:rsid w:val="009245F5"/>
    <w:rsid w:val="009249EC"/>
    <w:rsid w:val="009273B3"/>
    <w:rsid w:val="009305B5"/>
    <w:rsid w:val="00931599"/>
    <w:rsid w:val="009429D5"/>
    <w:rsid w:val="00942BF1"/>
    <w:rsid w:val="00943430"/>
    <w:rsid w:val="00945180"/>
    <w:rsid w:val="00945428"/>
    <w:rsid w:val="0094607B"/>
    <w:rsid w:val="009510AB"/>
    <w:rsid w:val="00952069"/>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331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3E1F"/>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482D"/>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1A27"/>
    <w:rsid w:val="00AB6309"/>
    <w:rsid w:val="00AB6C5F"/>
    <w:rsid w:val="00AB7129"/>
    <w:rsid w:val="00AC27A6"/>
    <w:rsid w:val="00AC30F7"/>
    <w:rsid w:val="00AC3A5A"/>
    <w:rsid w:val="00AC4D95"/>
    <w:rsid w:val="00AC5DF4"/>
    <w:rsid w:val="00AD058A"/>
    <w:rsid w:val="00AD0AEF"/>
    <w:rsid w:val="00AD11B7"/>
    <w:rsid w:val="00AD1A94"/>
    <w:rsid w:val="00AD1C05"/>
    <w:rsid w:val="00AD4126"/>
    <w:rsid w:val="00AD421C"/>
    <w:rsid w:val="00AD44FA"/>
    <w:rsid w:val="00AD71EE"/>
    <w:rsid w:val="00AE070A"/>
    <w:rsid w:val="00AE101C"/>
    <w:rsid w:val="00AE37E5"/>
    <w:rsid w:val="00AE5EB4"/>
    <w:rsid w:val="00AF0C18"/>
    <w:rsid w:val="00AF47C5"/>
    <w:rsid w:val="00AF5398"/>
    <w:rsid w:val="00B049AF"/>
    <w:rsid w:val="00B07242"/>
    <w:rsid w:val="00B10534"/>
    <w:rsid w:val="00B113DB"/>
    <w:rsid w:val="00B11D8A"/>
    <w:rsid w:val="00B12981"/>
    <w:rsid w:val="00B12CE5"/>
    <w:rsid w:val="00B147DD"/>
    <w:rsid w:val="00B156FD"/>
    <w:rsid w:val="00B17AD9"/>
    <w:rsid w:val="00B21F61"/>
    <w:rsid w:val="00B261F1"/>
    <w:rsid w:val="00B265BC"/>
    <w:rsid w:val="00B31FB1"/>
    <w:rsid w:val="00B33952"/>
    <w:rsid w:val="00B33C5E"/>
    <w:rsid w:val="00B342F4"/>
    <w:rsid w:val="00B34369"/>
    <w:rsid w:val="00B34DC2"/>
    <w:rsid w:val="00B378E5"/>
    <w:rsid w:val="00B41DEC"/>
    <w:rsid w:val="00B4346D"/>
    <w:rsid w:val="00B440F4"/>
    <w:rsid w:val="00B447A5"/>
    <w:rsid w:val="00B4654C"/>
    <w:rsid w:val="00B47293"/>
    <w:rsid w:val="00B50E50"/>
    <w:rsid w:val="00B52120"/>
    <w:rsid w:val="00B54ABC"/>
    <w:rsid w:val="00B55569"/>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03FD"/>
    <w:rsid w:val="00B939B1"/>
    <w:rsid w:val="00B96D40"/>
    <w:rsid w:val="00B97386"/>
    <w:rsid w:val="00BA263B"/>
    <w:rsid w:val="00BA42B2"/>
    <w:rsid w:val="00BA4D65"/>
    <w:rsid w:val="00BA58D4"/>
    <w:rsid w:val="00BA5B9E"/>
    <w:rsid w:val="00BA7C9A"/>
    <w:rsid w:val="00BB5F8F"/>
    <w:rsid w:val="00BB657A"/>
    <w:rsid w:val="00BC1A4E"/>
    <w:rsid w:val="00BC5DC7"/>
    <w:rsid w:val="00BC6B8B"/>
    <w:rsid w:val="00BC73D8"/>
    <w:rsid w:val="00BD400F"/>
    <w:rsid w:val="00BD40F6"/>
    <w:rsid w:val="00BD52D7"/>
    <w:rsid w:val="00BD5AD2"/>
    <w:rsid w:val="00BE22F3"/>
    <w:rsid w:val="00BE5B52"/>
    <w:rsid w:val="00BE689C"/>
    <w:rsid w:val="00BE7B8D"/>
    <w:rsid w:val="00BF0993"/>
    <w:rsid w:val="00BF10A9"/>
    <w:rsid w:val="00BF1703"/>
    <w:rsid w:val="00BF231C"/>
    <w:rsid w:val="00BF51E5"/>
    <w:rsid w:val="00BF5E88"/>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EBD"/>
    <w:rsid w:val="00C42130"/>
    <w:rsid w:val="00C423A4"/>
    <w:rsid w:val="00C44BF5"/>
    <w:rsid w:val="00C521D6"/>
    <w:rsid w:val="00C55232"/>
    <w:rsid w:val="00C553A4"/>
    <w:rsid w:val="00C55A06"/>
    <w:rsid w:val="00C55D03"/>
    <w:rsid w:val="00C601BC"/>
    <w:rsid w:val="00C6329F"/>
    <w:rsid w:val="00C63340"/>
    <w:rsid w:val="00C643F9"/>
    <w:rsid w:val="00C64B60"/>
    <w:rsid w:val="00C64E95"/>
    <w:rsid w:val="00C71372"/>
    <w:rsid w:val="00C72410"/>
    <w:rsid w:val="00C7287F"/>
    <w:rsid w:val="00C80CB8"/>
    <w:rsid w:val="00C819F8"/>
    <w:rsid w:val="00C8248C"/>
    <w:rsid w:val="00C84E33"/>
    <w:rsid w:val="00C86D6F"/>
    <w:rsid w:val="00C905FC"/>
    <w:rsid w:val="00C92D03"/>
    <w:rsid w:val="00C9319C"/>
    <w:rsid w:val="00C93CC7"/>
    <w:rsid w:val="00C9435D"/>
    <w:rsid w:val="00C94DF2"/>
    <w:rsid w:val="00C96741"/>
    <w:rsid w:val="00CA2D1B"/>
    <w:rsid w:val="00CA375D"/>
    <w:rsid w:val="00CA609C"/>
    <w:rsid w:val="00CA662A"/>
    <w:rsid w:val="00CA7AFD"/>
    <w:rsid w:val="00CA7C3C"/>
    <w:rsid w:val="00CB0189"/>
    <w:rsid w:val="00CB0BA2"/>
    <w:rsid w:val="00CB1A42"/>
    <w:rsid w:val="00CB1B0C"/>
    <w:rsid w:val="00CB2C0B"/>
    <w:rsid w:val="00CB517D"/>
    <w:rsid w:val="00CC0305"/>
    <w:rsid w:val="00CC038D"/>
    <w:rsid w:val="00CC08DB"/>
    <w:rsid w:val="00CC39FF"/>
    <w:rsid w:val="00CC3C2F"/>
    <w:rsid w:val="00CC4AC8"/>
    <w:rsid w:val="00CC5233"/>
    <w:rsid w:val="00CC5D13"/>
    <w:rsid w:val="00CC5DE6"/>
    <w:rsid w:val="00CC6E4E"/>
    <w:rsid w:val="00CC6FE8"/>
    <w:rsid w:val="00CC7202"/>
    <w:rsid w:val="00CD2808"/>
    <w:rsid w:val="00CD28BF"/>
    <w:rsid w:val="00CD4092"/>
    <w:rsid w:val="00CD4A20"/>
    <w:rsid w:val="00CD50A1"/>
    <w:rsid w:val="00CD519E"/>
    <w:rsid w:val="00CE0C4F"/>
    <w:rsid w:val="00CE2A81"/>
    <w:rsid w:val="00CE2FEF"/>
    <w:rsid w:val="00CE30EA"/>
    <w:rsid w:val="00CF048A"/>
    <w:rsid w:val="00CF155A"/>
    <w:rsid w:val="00CF2947"/>
    <w:rsid w:val="00CF686F"/>
    <w:rsid w:val="00CF6C33"/>
    <w:rsid w:val="00CF6E60"/>
    <w:rsid w:val="00CF7BCA"/>
    <w:rsid w:val="00D008FD"/>
    <w:rsid w:val="00D0321C"/>
    <w:rsid w:val="00D035EC"/>
    <w:rsid w:val="00D06AB1"/>
    <w:rsid w:val="00D072ED"/>
    <w:rsid w:val="00D07A16"/>
    <w:rsid w:val="00D1067E"/>
    <w:rsid w:val="00D10F50"/>
    <w:rsid w:val="00D11272"/>
    <w:rsid w:val="00D126F5"/>
    <w:rsid w:val="00D136FC"/>
    <w:rsid w:val="00D1489E"/>
    <w:rsid w:val="00D20737"/>
    <w:rsid w:val="00D21E81"/>
    <w:rsid w:val="00D223DE"/>
    <w:rsid w:val="00D25E37"/>
    <w:rsid w:val="00D2661A"/>
    <w:rsid w:val="00D27582"/>
    <w:rsid w:val="00D27EC4"/>
    <w:rsid w:val="00D32719"/>
    <w:rsid w:val="00D33333"/>
    <w:rsid w:val="00D3514F"/>
    <w:rsid w:val="00D352A2"/>
    <w:rsid w:val="00D4162B"/>
    <w:rsid w:val="00D4514F"/>
    <w:rsid w:val="00D451E2"/>
    <w:rsid w:val="00D45E89"/>
    <w:rsid w:val="00D45E8D"/>
    <w:rsid w:val="00D466AE"/>
    <w:rsid w:val="00D4734F"/>
    <w:rsid w:val="00D51BF3"/>
    <w:rsid w:val="00D66846"/>
    <w:rsid w:val="00D675FB"/>
    <w:rsid w:val="00D71F25"/>
    <w:rsid w:val="00D72A9C"/>
    <w:rsid w:val="00D73931"/>
    <w:rsid w:val="00D765C4"/>
    <w:rsid w:val="00D77031"/>
    <w:rsid w:val="00D84941"/>
    <w:rsid w:val="00D84FA1"/>
    <w:rsid w:val="00D851F0"/>
    <w:rsid w:val="00D86DB7"/>
    <w:rsid w:val="00D926D0"/>
    <w:rsid w:val="00D93030"/>
    <w:rsid w:val="00D950E1"/>
    <w:rsid w:val="00D952A6"/>
    <w:rsid w:val="00D957DC"/>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5E2"/>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258"/>
    <w:rsid w:val="00E44A83"/>
    <w:rsid w:val="00E502C1"/>
    <w:rsid w:val="00E502DD"/>
    <w:rsid w:val="00E50D3A"/>
    <w:rsid w:val="00E51387"/>
    <w:rsid w:val="00E51702"/>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2C00"/>
    <w:rsid w:val="00E83AF4"/>
    <w:rsid w:val="00E846C8"/>
    <w:rsid w:val="00E84957"/>
    <w:rsid w:val="00E84A55"/>
    <w:rsid w:val="00E85BFF"/>
    <w:rsid w:val="00E90391"/>
    <w:rsid w:val="00E906C2"/>
    <w:rsid w:val="00E90F1D"/>
    <w:rsid w:val="00E9311F"/>
    <w:rsid w:val="00E934D1"/>
    <w:rsid w:val="00E94AF0"/>
    <w:rsid w:val="00E95D13"/>
    <w:rsid w:val="00E95DD3"/>
    <w:rsid w:val="00E960F1"/>
    <w:rsid w:val="00E969D5"/>
    <w:rsid w:val="00EA0C93"/>
    <w:rsid w:val="00EA58D1"/>
    <w:rsid w:val="00EA61BC"/>
    <w:rsid w:val="00EA681A"/>
    <w:rsid w:val="00EA735B"/>
    <w:rsid w:val="00EA7F80"/>
    <w:rsid w:val="00EB1E69"/>
    <w:rsid w:val="00EB2086"/>
    <w:rsid w:val="00EB5EDF"/>
    <w:rsid w:val="00EB60FE"/>
    <w:rsid w:val="00EB74DB"/>
    <w:rsid w:val="00EC226F"/>
    <w:rsid w:val="00EC5359"/>
    <w:rsid w:val="00EC562A"/>
    <w:rsid w:val="00ED067A"/>
    <w:rsid w:val="00ED2B50"/>
    <w:rsid w:val="00EE0350"/>
    <w:rsid w:val="00EE0719"/>
    <w:rsid w:val="00EE0E80"/>
    <w:rsid w:val="00EE613F"/>
    <w:rsid w:val="00EE7295"/>
    <w:rsid w:val="00EE7869"/>
    <w:rsid w:val="00EE7BCF"/>
    <w:rsid w:val="00EF054A"/>
    <w:rsid w:val="00EF3235"/>
    <w:rsid w:val="00EF3A02"/>
    <w:rsid w:val="00EF634E"/>
    <w:rsid w:val="00EF7E72"/>
    <w:rsid w:val="00EF7FE3"/>
    <w:rsid w:val="00F05745"/>
    <w:rsid w:val="00F06D37"/>
    <w:rsid w:val="00F06F13"/>
    <w:rsid w:val="00F07B9D"/>
    <w:rsid w:val="00F11586"/>
    <w:rsid w:val="00F1183B"/>
    <w:rsid w:val="00F11C9F"/>
    <w:rsid w:val="00F12263"/>
    <w:rsid w:val="00F1409D"/>
    <w:rsid w:val="00F14214"/>
    <w:rsid w:val="00F157A9"/>
    <w:rsid w:val="00F25BB6"/>
    <w:rsid w:val="00F26B7E"/>
    <w:rsid w:val="00F27A3B"/>
    <w:rsid w:val="00F27C6A"/>
    <w:rsid w:val="00F33817"/>
    <w:rsid w:val="00F408AD"/>
    <w:rsid w:val="00F40E07"/>
    <w:rsid w:val="00F41736"/>
    <w:rsid w:val="00F420D5"/>
    <w:rsid w:val="00F44150"/>
    <w:rsid w:val="00F451EA"/>
    <w:rsid w:val="00F45447"/>
    <w:rsid w:val="00F456C6"/>
    <w:rsid w:val="00F4577B"/>
    <w:rsid w:val="00F46496"/>
    <w:rsid w:val="00F474D0"/>
    <w:rsid w:val="00F50090"/>
    <w:rsid w:val="00F50179"/>
    <w:rsid w:val="00F515EE"/>
    <w:rsid w:val="00F56511"/>
    <w:rsid w:val="00F6194E"/>
    <w:rsid w:val="00F623AC"/>
    <w:rsid w:val="00F6412A"/>
    <w:rsid w:val="00F65893"/>
    <w:rsid w:val="00F66A4A"/>
    <w:rsid w:val="00F71E22"/>
    <w:rsid w:val="00F72142"/>
    <w:rsid w:val="00F72AE7"/>
    <w:rsid w:val="00F75032"/>
    <w:rsid w:val="00F803D0"/>
    <w:rsid w:val="00F833BA"/>
    <w:rsid w:val="00F84FD0"/>
    <w:rsid w:val="00F859A8"/>
    <w:rsid w:val="00F86D87"/>
    <w:rsid w:val="00F9108B"/>
    <w:rsid w:val="00F91349"/>
    <w:rsid w:val="00F91A45"/>
    <w:rsid w:val="00F93A8A"/>
    <w:rsid w:val="00F95248"/>
    <w:rsid w:val="00F956A9"/>
    <w:rsid w:val="00F963ED"/>
    <w:rsid w:val="00F966CF"/>
    <w:rsid w:val="00F96CAE"/>
    <w:rsid w:val="00F97C99"/>
    <w:rsid w:val="00FA662D"/>
    <w:rsid w:val="00FA73B1"/>
    <w:rsid w:val="00FB0CB9"/>
    <w:rsid w:val="00FB0E93"/>
    <w:rsid w:val="00FB45F1"/>
    <w:rsid w:val="00FB4A72"/>
    <w:rsid w:val="00FB54E8"/>
    <w:rsid w:val="00FB56A3"/>
    <w:rsid w:val="00FB7054"/>
    <w:rsid w:val="00FC17B7"/>
    <w:rsid w:val="00FC2CB7"/>
    <w:rsid w:val="00FC4090"/>
    <w:rsid w:val="00FC55B4"/>
    <w:rsid w:val="00FD00E6"/>
    <w:rsid w:val="00FD09A1"/>
    <w:rsid w:val="00FD2A7C"/>
    <w:rsid w:val="00FD59EB"/>
    <w:rsid w:val="00FD5B35"/>
    <w:rsid w:val="00FD7299"/>
    <w:rsid w:val="00FE1FBE"/>
    <w:rsid w:val="00FE203B"/>
    <w:rsid w:val="00FE3901"/>
    <w:rsid w:val="00FE39D3"/>
    <w:rsid w:val="00FE4BCE"/>
    <w:rsid w:val="00FE54AE"/>
    <w:rsid w:val="00FE576A"/>
    <w:rsid w:val="00FE7E79"/>
    <w:rsid w:val="00FF3E7D"/>
    <w:rsid w:val="00FF5B99"/>
    <w:rsid w:val="00FF730C"/>
    <w:rsid w:val="00FF73F4"/>
    <w:rsid w:val="00FF7CE4"/>
    <w:rsid w:val="00FF7E39"/>
    <w:rsid w:val="0EE61B3C"/>
    <w:rsid w:val="23272ADA"/>
    <w:rsid w:val="5A0F24FA"/>
    <w:rsid w:val="7B415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uiPriority w:val="0"/>
    <w:pPr>
      <w:ind w:left="1470"/>
    </w:pPr>
  </w:style>
  <w:style w:type="paragraph" w:customStyle="1" w:styleId="149">
    <w:name w:val="目录 91"/>
    <w:basedOn w:val="148"/>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一级条标题"/>
    <w:next w:val="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1">
    <w:name w:val="章标题"/>
    <w:next w:val="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2">
    <w:name w:val="二级条标题"/>
    <w:basedOn w:val="230"/>
    <w:next w:val="1"/>
    <w:qFormat/>
    <w:uiPriority w:val="0"/>
    <w:pPr>
      <w:numPr>
        <w:ilvl w:val="2"/>
      </w:numPr>
      <w:spacing w:before="50" w:after="50"/>
      <w:outlineLvl w:val="3"/>
    </w:pPr>
  </w:style>
  <w:style w:type="paragraph" w:customStyle="1" w:styleId="233">
    <w:name w:val="三级条标题"/>
    <w:basedOn w:val="232"/>
    <w:next w:val="1"/>
    <w:qFormat/>
    <w:uiPriority w:val="0"/>
    <w:pPr>
      <w:numPr>
        <w:ilvl w:val="3"/>
      </w:numPr>
      <w:outlineLvl w:val="4"/>
    </w:pPr>
  </w:style>
  <w:style w:type="paragraph" w:customStyle="1" w:styleId="234">
    <w:name w:val="四级条标题"/>
    <w:basedOn w:val="233"/>
    <w:next w:val="1"/>
    <w:qFormat/>
    <w:uiPriority w:val="0"/>
    <w:pPr>
      <w:numPr>
        <w:ilvl w:val="4"/>
      </w:numPr>
      <w:outlineLvl w:val="5"/>
    </w:pPr>
  </w:style>
  <w:style w:type="paragraph" w:customStyle="1" w:styleId="235">
    <w:name w:val="五级条标题"/>
    <w:basedOn w:val="234"/>
    <w:next w:val="1"/>
    <w:qFormat/>
    <w:uiPriority w:val="0"/>
    <w:pPr>
      <w:numPr>
        <w:ilvl w:val="5"/>
      </w:numPr>
      <w:outlineLvl w:val="6"/>
    </w:pPr>
  </w:style>
  <w:style w:type="paragraph" w:customStyle="1" w:styleId="236">
    <w:name w:val="一级无"/>
    <w:basedOn w:val="230"/>
    <w:qFormat/>
    <w:uiPriority w:val="0"/>
    <w:pPr>
      <w:spacing w:beforeLines="0" w:afterLines="0"/>
    </w:pPr>
    <w:rPr>
      <w:rFonts w:ascii="宋体" w:eastAsia="宋体"/>
    </w:rPr>
  </w:style>
  <w:style w:type="character" w:customStyle="1" w:styleId="237">
    <w:name w:val="段 Char"/>
    <w:link w:val="238"/>
    <w:uiPriority w:val="0"/>
    <w:rPr>
      <w:rFonts w:ascii="宋体"/>
      <w:sz w:val="21"/>
    </w:rPr>
  </w:style>
  <w:style w:type="paragraph" w:customStyle="1" w:styleId="238">
    <w:name w:val="段"/>
    <w:link w:val="237"/>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240">
    <w:name w:val="列项◆（三级）"/>
    <w:basedOn w:val="1"/>
    <w:qFormat/>
    <w:uiPriority w:val="0"/>
    <w:pPr>
      <w:tabs>
        <w:tab w:val="left" w:pos="1678"/>
      </w:tabs>
      <w:adjustRightInd/>
      <w:spacing w:line="240" w:lineRule="auto"/>
      <w:ind w:left="1678" w:hanging="414"/>
    </w:pPr>
    <w:rPr>
      <w:rFonts w:ascii="宋体" w:hAnsi="Times New Roman"/>
    </w:rPr>
  </w:style>
  <w:style w:type="paragraph" w:customStyle="1" w:styleId="241">
    <w:name w:val="列项●（二级）"/>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42">
    <w:name w:val="参数说明"/>
    <w:basedOn w:val="1"/>
    <w:qFormat/>
    <w:uiPriority w:val="0"/>
    <w:pPr>
      <w:tabs>
        <w:tab w:val="left" w:pos="993"/>
      </w:tabs>
      <w:adjustRightInd/>
      <w:spacing w:line="360" w:lineRule="auto"/>
      <w:ind w:firstLine="600" w:firstLineChars="200"/>
    </w:pPr>
    <w:rPr>
      <w:rFonts w:ascii="仿宋_GB2312" w:hAnsi="Times New Roman" w:eastAsia="仿宋_GB231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EB0A6BE21D8406D95D2B01D761281C3"/>
        <w:style w:val=""/>
        <w:category>
          <w:name w:val="常规"/>
          <w:gallery w:val="placeholder"/>
        </w:category>
        <w:types>
          <w:type w:val="bbPlcHdr"/>
        </w:types>
        <w:behaviors>
          <w:behavior w:val="content"/>
        </w:behaviors>
        <w:description w:val=""/>
        <w:guid w:val="{B3CE0DCD-74EF-4A8C-BCCD-40298502AF72}"/>
      </w:docPartPr>
      <w:docPartBody>
        <w:p>
          <w:pPr>
            <w:pStyle w:val="5"/>
          </w:pPr>
          <w:r>
            <w:rPr>
              <w:rStyle w:val="4"/>
              <w:rFonts w:hint="eastAsia"/>
            </w:rPr>
            <w:t>单击或点击此处输入文字。</w:t>
          </w:r>
        </w:p>
      </w:docPartBody>
    </w:docPart>
    <w:docPart>
      <w:docPartPr>
        <w:name w:val="039AAA68D805408B93E8459CA00DD4C6"/>
        <w:style w:val=""/>
        <w:category>
          <w:name w:val="常规"/>
          <w:gallery w:val="placeholder"/>
        </w:category>
        <w:types>
          <w:type w:val="bbPlcHdr"/>
        </w:types>
        <w:behaviors>
          <w:behavior w:val="content"/>
        </w:behaviors>
        <w:description w:val=""/>
        <w:guid w:val="{5BDD95ED-2A79-41E0-8A59-8E3D2A169DDE}"/>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0F70"/>
    <w:rsid w:val="000460DB"/>
    <w:rsid w:val="00055F0B"/>
    <w:rsid w:val="000617B5"/>
    <w:rsid w:val="000D2446"/>
    <w:rsid w:val="00121845"/>
    <w:rsid w:val="00122D67"/>
    <w:rsid w:val="00130F8B"/>
    <w:rsid w:val="00195C15"/>
    <w:rsid w:val="001B65FF"/>
    <w:rsid w:val="001B7811"/>
    <w:rsid w:val="0023156E"/>
    <w:rsid w:val="002A1282"/>
    <w:rsid w:val="002B6AFA"/>
    <w:rsid w:val="003118BF"/>
    <w:rsid w:val="00343B37"/>
    <w:rsid w:val="003C5173"/>
    <w:rsid w:val="00411134"/>
    <w:rsid w:val="004631A8"/>
    <w:rsid w:val="004A31B5"/>
    <w:rsid w:val="004D5678"/>
    <w:rsid w:val="005212D4"/>
    <w:rsid w:val="0072174D"/>
    <w:rsid w:val="007673DF"/>
    <w:rsid w:val="007D0DB8"/>
    <w:rsid w:val="00840584"/>
    <w:rsid w:val="00857196"/>
    <w:rsid w:val="008D59D7"/>
    <w:rsid w:val="008E3E6C"/>
    <w:rsid w:val="0094100B"/>
    <w:rsid w:val="00967B28"/>
    <w:rsid w:val="0099562A"/>
    <w:rsid w:val="00995716"/>
    <w:rsid w:val="009A4DBF"/>
    <w:rsid w:val="00AE2307"/>
    <w:rsid w:val="00B931D2"/>
    <w:rsid w:val="00BB76EA"/>
    <w:rsid w:val="00C076D2"/>
    <w:rsid w:val="00C43AF2"/>
    <w:rsid w:val="00CC22EB"/>
    <w:rsid w:val="00CF57CD"/>
    <w:rsid w:val="00DE6CF4"/>
    <w:rsid w:val="00E36BE5"/>
    <w:rsid w:val="00E438A1"/>
    <w:rsid w:val="00E56FDF"/>
    <w:rsid w:val="00F10F70"/>
    <w:rsid w:val="00F6435A"/>
    <w:rsid w:val="00FA7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EB0A6BE21D8406D95D2B01D761281C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39AAA68D805408B93E8459CA00DD4C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C1012A-492B-4BD7-B2E7-711F91718C58}">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8</Pages>
  <Words>702</Words>
  <Characters>4008</Characters>
  <Lines>33</Lines>
  <Paragraphs>9</Paragraphs>
  <TotalTime>197</TotalTime>
  <ScaleCrop>false</ScaleCrop>
  <LinksUpToDate>false</LinksUpToDate>
  <CharactersWithSpaces>4701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2021-11-09T04:04:00Z</dcterms:created>
  <dc:creator>李琰</dc:creator>
  <dc:description>&lt;config cover="true" show_menu="true" version="1.0.0" doctype="SDKXY"&gt;_x000d_
&lt;/config&gt;</dc:description>
  <cp:lastModifiedBy>简</cp:lastModifiedBy>
  <cp:lastPrinted>2021-11-10T09:51:00Z</cp:lastPrinted>
  <dcterms:modified xsi:type="dcterms:W3CDTF">2021-12-27T08:42:37Z</dcterms:modified>
  <dc:title>地方标准</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2052-11.1.0.11194</vt:lpwstr>
  </property>
  <property fmtid="{D5CDD505-2E9C-101B-9397-08002B2CF9AE}" pid="15" name="ICV">
    <vt:lpwstr>C9540212BA114039838813D8560A7969</vt:lpwstr>
  </property>
</Properties>
</file>