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ms-word.template.macroEnabled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vbaData.xml" ContentType="application/vnd.ms-word.vbaData+xml"/>
  <Override PartName="/word/vbaProject.bin" ContentType="application/vnd.ms-office.vbaProject"/>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9"/>
      </w:pPr>
      <w:r>
        <w:rPr>
          <w:rFonts w:ascii="Times New Roman"/>
        </w:rPr>
        <w:t>ICS</w:t>
      </w:r>
      <w:r>
        <w:rPr>
          <w:rFonts w:hAnsi="黑体"/>
        </w:rPr>
        <w:t> </w:t>
      </w:r>
      <w:r>
        <w:fldChar w:fldCharType="begin">
          <w:ffData>
            <w:name w:val="ICS"/>
            <w:enabled/>
            <w:calcOnExit w:val="0"/>
            <w:helpText w:type="text" w:val="请输入正确的ICS号："/>
            <w:textInput>
              <w:default w:val="点击此处添加ICS号"/>
            </w:textInput>
          </w:ffData>
        </w:fldChar>
      </w:r>
      <w:bookmarkStart w:id="0" w:name="ICS"/>
      <w:r>
        <w:instrText xml:space="preserve"> FORMTEXT </w:instrText>
      </w:r>
      <w:r>
        <w:fldChar w:fldCharType="separate"/>
      </w:r>
      <w:r>
        <w:t>65.020.01</w:t>
      </w:r>
      <w:r>
        <w:fldChar w:fldCharType="end"/>
      </w:r>
      <w:bookmarkEnd w:id="0"/>
    </w:p>
    <w:p>
      <w:pPr>
        <w:pStyle w:val="119"/>
      </w:pPr>
      <w:r>
        <w:fldChar w:fldCharType="begin">
          <w:ffData>
            <w:name w:val="WXFLH"/>
            <w:enabled/>
            <w:calcOnExit w:val="0"/>
            <w:helpText w:type="text" w:val="请输入中国标准文献分类号："/>
            <w:textInput>
              <w:default w:val="点击此处添加中国标准文献分类号"/>
            </w:textInput>
          </w:ffData>
        </w:fldChar>
      </w:r>
      <w:bookmarkStart w:id="1" w:name="WXFLH"/>
      <w:r>
        <w:instrText xml:space="preserve"> FORMTEXT </w:instrText>
      </w:r>
      <w:r>
        <w:fldChar w:fldCharType="separate"/>
      </w:r>
      <w:r>
        <w:t>B 05</w:t>
      </w:r>
      <w:r>
        <w:fldChar w:fldCharType="end"/>
      </w:r>
      <w:bookmarkEnd w:id="1"/>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tcBorders>
              <w:top w:val="nil"/>
              <w:left w:val="nil"/>
              <w:bottom w:val="nil"/>
              <w:right w:val="nil"/>
            </w:tcBorders>
            <w:shd w:val="clear" w:color="auto" w:fill="auto"/>
          </w:tcPr>
          <w:p>
            <w:pPr>
              <w:pStyle w:val="119"/>
            </w:pPr>
            <w:r>
              <w:fldChar w:fldCharType="begin">
                <w:ffData>
                  <w:name w:val="BAH"/>
                  <w:enabled/>
                  <w:calcOnExit w:val="0"/>
                  <w:textInput/>
                </w:ffData>
              </w:fldChar>
            </w:r>
            <w:bookmarkStart w:id="2" w:name="BAH"/>
            <w:r>
              <w:instrText xml:space="preserve"> </w:instrText>
            </w:r>
            <w:r>
              <w:rPr>
                <w:rFonts w:hint="eastAsia"/>
              </w:rPr>
              <w:instrText xml:space="preserve">FORMTEXT</w:instrText>
            </w:r>
            <w:r>
              <w:instrText xml:space="preserve"> </w:instrText>
            </w:r>
            <w:r>
              <w:fldChar w:fldCharType="separate"/>
            </w:r>
            <w:r>
              <w:t>     </w:t>
            </w:r>
            <w:r>
              <w:fldChar w:fldCharType="end"/>
            </w:r>
            <w:bookmarkEnd w:id="2"/>
          </w:p>
        </w:tc>
      </w:tr>
    </w:tbl>
    <w:p>
      <w:pPr>
        <w:pStyle w:val="105"/>
      </w:pPr>
      <w:r>
        <w:t>D</w:t>
      </w:r>
      <w:r>
        <w:rPr>
          <w:spacing w:val="100"/>
        </w:rPr>
        <w:t>B</w:t>
      </w:r>
      <w:r>
        <w:fldChar w:fldCharType="begin">
          <w:ffData>
            <w:name w:val="c3"/>
            <w:enabled/>
            <w:calcOnExit w:val="0"/>
            <w:entryMacro w:val="ShowHelp16"/>
            <w:textInput/>
          </w:ffData>
        </w:fldChar>
      </w:r>
      <w:bookmarkStart w:id="3" w:name="c3"/>
      <w:r>
        <w:instrText xml:space="preserve"> FORMTEXT </w:instrText>
      </w:r>
      <w:r>
        <w:fldChar w:fldCharType="separate"/>
      </w:r>
      <w:r>
        <w:t>37</w:t>
      </w:r>
      <w:r>
        <w:fldChar w:fldCharType="end"/>
      </w:r>
      <w:bookmarkEnd w:id="3"/>
    </w:p>
    <w:p>
      <w:pPr>
        <w:pStyle w:val="106"/>
      </w:pPr>
      <w:r>
        <w:fldChar w:fldCharType="begin">
          <w:ffData>
            <w:name w:val="c4"/>
            <w:enabled/>
            <w:calcOnExit w:val="0"/>
            <w:entryMacro w:val="showhelp12"/>
            <w:textInput/>
          </w:ffData>
        </w:fldChar>
      </w:r>
      <w:bookmarkStart w:id="4" w:name="c4"/>
      <w:r>
        <w:instrText xml:space="preserve"> FORMTEXT </w:instrText>
      </w:r>
      <w:r>
        <w:fldChar w:fldCharType="separate"/>
      </w:r>
      <w:r>
        <w:rPr>
          <w:rFonts w:hint="eastAsia"/>
        </w:rPr>
        <w:t>山东省</w:t>
      </w:r>
      <w:r>
        <w:fldChar w:fldCharType="end"/>
      </w:r>
      <w:bookmarkEnd w:id="4"/>
      <w:r>
        <w:t>地方标准</w:t>
      </w:r>
    </w:p>
    <w:p>
      <w:pPr>
        <w:pStyle w:val="43"/>
        <w:rPr>
          <w:rFonts w:hint="default" w:hAnsi="黑体" w:eastAsia="黑体"/>
          <w:lang w:val="en-US" w:eastAsia="zh-CN"/>
        </w:rPr>
      </w:pPr>
      <w:r>
        <w:rPr>
          <w:rFonts w:ascii="Times New Roman"/>
        </w:rPr>
        <w:t>DB</w:t>
      </w:r>
      <w:r>
        <w:rPr>
          <w:rFonts w:hAnsi="黑体"/>
        </w:rPr>
        <w:fldChar w:fldCharType="begin">
          <w:ffData>
            <w:name w:val="StdNo0"/>
            <w:enabled/>
            <w:calcOnExit w:val="0"/>
            <w:textInput>
              <w:default w:val="××/T"/>
            </w:textInput>
          </w:ffData>
        </w:fldChar>
      </w:r>
      <w:bookmarkStart w:id="5" w:name="StdNo0"/>
      <w:r>
        <w:rPr>
          <w:rFonts w:hAnsi="黑体"/>
        </w:rPr>
        <w:instrText xml:space="preserve"> FORMTEXT </w:instrText>
      </w:r>
      <w:r>
        <w:rPr>
          <w:rFonts w:hAnsi="黑体"/>
        </w:rPr>
        <w:fldChar w:fldCharType="separate"/>
      </w:r>
      <w:r>
        <w:rPr>
          <w:rFonts w:hAnsi="黑体"/>
        </w:rPr>
        <w:t>37</w:t>
      </w:r>
      <w:r>
        <w:rPr>
          <w:rFonts w:ascii="Times New Roman"/>
        </w:rPr>
        <w:t>/T</w:t>
      </w:r>
      <w:r>
        <w:rPr>
          <w:rFonts w:hAnsi="黑体"/>
        </w:rPr>
        <w:fldChar w:fldCharType="end"/>
      </w:r>
      <w:bookmarkEnd w:id="5"/>
      <w:r>
        <w:rPr>
          <w:rFonts w:hAnsi="黑体"/>
        </w:rPr>
        <w:t xml:space="preserve"> </w:t>
      </w:r>
      <w:r>
        <w:rPr>
          <w:rFonts w:hint="eastAsia" w:hAnsi="黑体"/>
          <w:lang w:val="en-US" w:eastAsia="zh-CN"/>
        </w:rPr>
        <w:t>3870</w:t>
      </w:r>
      <w:r>
        <w:rPr>
          <w:rFonts w:hAnsi="黑体"/>
        </w:rPr>
        <w:t>—</w:t>
      </w:r>
      <w:r>
        <w:rPr>
          <w:rFonts w:hint="eastAsia" w:hAnsi="黑体"/>
          <w:lang w:val="en-US" w:eastAsia="zh-CN"/>
        </w:rPr>
        <w:t>2020</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30" w:type="dxa"/>
            <w:tcBorders>
              <w:top w:val="nil"/>
              <w:left w:val="nil"/>
              <w:bottom w:val="nil"/>
              <w:right w:val="nil"/>
            </w:tcBorders>
            <w:shd w:val="clear" w:color="auto" w:fill="auto"/>
          </w:tcPr>
          <w:p>
            <w:pPr>
              <w:pStyle w:val="72"/>
            </w:pPr>
            <w:r>
              <mc:AlternateContent>
                <mc:Choice Requires="wps">
                  <w:drawing>
                    <wp:anchor distT="0" distB="0" distL="114300" distR="114300" simplePos="0" relativeHeight="251663360" behindDoc="1" locked="0" layoutInCell="1" allowOverlap="1">
                      <wp:simplePos x="0" y="0"/>
                      <wp:positionH relativeFrom="column">
                        <wp:posOffset>4665980</wp:posOffset>
                      </wp:positionH>
                      <wp:positionV relativeFrom="paragraph">
                        <wp:posOffset>34290</wp:posOffset>
                      </wp:positionV>
                      <wp:extent cx="1143000" cy="228600"/>
                      <wp:effectExtent l="0" t="0" r="0" b="0"/>
                      <wp:wrapNone/>
                      <wp:docPr id="5"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DT" o:spid="_x0000_s1026" o:spt="1" style="position:absolute;left:0pt;margin-left:367.4pt;margin-top:2.7pt;height:18pt;width:90pt;z-index:-251653120;v-text-anchor:middle;mso-width-relative:page;mso-height-relative:page;" fillcolor="#FFFFFF" filled="t" stroked="f" coordsize="21600,21600" o:gfxdata="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xZ7k/9MAAAAIAQAADwAAAAAAAAABACAAAAAiAAAAZHJzL2Rvd25yZXYueG1s&#10;UEsBAhQAFAAAAAgAh07iQIVgWB02AgAAbgQAAA4AAAAAAAAAAQAgAAAAIgEAAGRycy9lMm9Eb2Mu&#10;eG1sUEsFBgAAAAAGAAYAWQEAAMoFAAAAAA==&#10;">
                      <v:fill on="t" focussize="0,0"/>
                      <v:stroke on="f" weight="2pt"/>
                      <v:imagedata o:title=""/>
                      <o:lock v:ext="edit" aspectratio="f"/>
                    </v:rect>
                  </w:pict>
                </mc:Fallback>
              </mc:AlternateContent>
            </w:r>
            <w:r>
              <w:fldChar w:fldCharType="begin">
                <w:ffData>
                  <w:name w:val="DT"/>
                  <w:enabled/>
                  <w:calcOnExit w:val="0"/>
                  <w:entryMacro w:val="ShowHelp4"/>
                  <w:textInput/>
                </w:ffData>
              </w:fldChar>
            </w:r>
            <w:bookmarkStart w:id="6" w:name="DT"/>
            <w:r>
              <w:instrText xml:space="preserve"> FORMTEXT </w:instrText>
            </w:r>
            <w:r>
              <w:fldChar w:fldCharType="separate"/>
            </w:r>
            <w:r>
              <w:t>     </w:t>
            </w:r>
            <w:r>
              <w:fldChar w:fldCharType="end"/>
            </w:r>
            <w:bookmarkEnd w:id="6"/>
          </w:p>
        </w:tc>
      </w:tr>
    </w:tbl>
    <w:p>
      <w:pPr>
        <w:pStyle w:val="43"/>
        <w:rPr>
          <w:rFonts w:hAnsi="黑体"/>
        </w:rPr>
      </w:pPr>
    </w:p>
    <w:p>
      <w:pPr>
        <w:pStyle w:val="43"/>
        <w:rPr>
          <w:rFonts w:hAnsi="黑体"/>
        </w:rPr>
      </w:pPr>
    </w:p>
    <w:p>
      <w:pPr>
        <w:pStyle w:val="74"/>
      </w:pPr>
      <w:r>
        <w:fldChar w:fldCharType="begin">
          <w:ffData>
            <w:name w:val="StdName"/>
            <w:enabled/>
            <w:calcOnExit w:val="0"/>
            <w:textInput>
              <w:default w:val="点击此处添加标准名称"/>
            </w:textInput>
          </w:ffData>
        </w:fldChar>
      </w:r>
      <w:bookmarkStart w:id="7" w:name="StdName"/>
      <w:r>
        <w:instrText xml:space="preserve"> FORMTEXT </w:instrText>
      </w:r>
      <w:r>
        <w:fldChar w:fldCharType="separate"/>
      </w:r>
      <w:r>
        <w:rPr>
          <w:rFonts w:hint="eastAsia"/>
        </w:rPr>
        <w:t>农产品质量安全监测样品制备技术规程</w:t>
      </w:r>
      <w:r>
        <w:fldChar w:fldCharType="end"/>
      </w:r>
      <w:bookmarkEnd w:id="7"/>
    </w:p>
    <w:p>
      <w:pPr>
        <w:pStyle w:val="75"/>
      </w:pPr>
      <w:r>
        <w:fldChar w:fldCharType="begin">
          <w:ffData>
            <w:name w:val="StdEnglishName"/>
            <w:enabled/>
            <w:calcOnExit w:val="0"/>
            <w:textInput>
              <w:default w:val="点击此处添加标准英文译名"/>
            </w:textInput>
          </w:ffData>
        </w:fldChar>
      </w:r>
      <w:bookmarkStart w:id="8" w:name="StdEnglishName"/>
      <w:r>
        <w:instrText xml:space="preserve"> FORMTEXT </w:instrText>
      </w:r>
      <w:r>
        <w:fldChar w:fldCharType="separate"/>
      </w:r>
      <w:r>
        <w:t>Technical specification for samples preparation of quality and safety monitoring of agricultural products</w:t>
      </w:r>
      <w:r>
        <w:fldChar w:fldCharType="end"/>
      </w:r>
      <w:bookmarkEnd w:id="8"/>
    </w:p>
    <w:p>
      <w:pPr>
        <w:pStyle w:val="76"/>
      </w:pP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9" w:type="dxa"/>
            <w:tcBorders>
              <w:top w:val="nil"/>
              <w:left w:val="nil"/>
              <w:bottom w:val="nil"/>
              <w:right w:val="nil"/>
            </w:tcBorders>
            <w:shd w:val="clear" w:color="auto" w:fill="auto"/>
          </w:tcPr>
          <w:p>
            <w:pPr>
              <w:pStyle w:val="77"/>
            </w:pPr>
            <w:r>
              <mc:AlternateContent>
                <mc:Choice Requires="wps">
                  <w:drawing>
                    <wp:anchor distT="0" distB="0" distL="114300" distR="114300" simplePos="0" relativeHeight="251665408" behindDoc="1" locked="1" layoutInCell="1" allowOverlap="1">
                      <wp:simplePos x="0" y="0"/>
                      <wp:positionH relativeFrom="column">
                        <wp:posOffset>2132330</wp:posOffset>
                      </wp:positionH>
                      <wp:positionV relativeFrom="paragraph">
                        <wp:posOffset>573405</wp:posOffset>
                      </wp:positionV>
                      <wp:extent cx="1905000" cy="254000"/>
                      <wp:effectExtent l="0" t="0" r="0" b="0"/>
                      <wp:wrapNone/>
                      <wp:docPr id="7" name="RQ"/>
                      <wp:cNvGraphicFramePr/>
                      <a:graphic xmlns:a="http://schemas.openxmlformats.org/drawingml/2006/main">
                        <a:graphicData uri="http://schemas.microsoft.com/office/word/2010/wordprocessingShape">
                          <wps:wsp>
                            <wps:cNvSpPr/>
                            <wps:spPr>
                              <a:xfrm>
                                <a:off x="0" y="0"/>
                                <a:ext cx="1905000" cy="2540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Q" o:spid="_x0000_s1026" o:spt="1" style="position:absolute;left:0pt;margin-left:167.9pt;margin-top:45.15pt;height:20pt;width:150pt;z-index:-251651072;v-text-anchor:middle;mso-width-relative:page;mso-height-relative:page;" fillcolor="#FFFFFF" filled="t" stroked="f" coordsize="21600,21600" o:gfxdata="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KI4XdMAAAAKAQAADwAAAAAAAAABACAAAAAiAAAAZHJzL2Rvd25yZXYueG1sUEsB&#10;AhQAFAAAAAgAh07iQI5fhBczAgAAbgQAAA4AAAAAAAAAAQAgAAAAIgEAAGRycy9lMm9Eb2MueG1s&#10;UEsFBgAAAAAGAAYAWQEAAMcFAAAAAA==&#10;">
                      <v:fill on="t" focussize="0,0"/>
                      <v:stroke on="f" weight="2pt"/>
                      <v:imagedata o:title=""/>
                      <o:lock v:ext="edit" aspectratio="f"/>
                      <w10:anchorlock/>
                    </v:rect>
                  </w:pict>
                </mc:Fallback>
              </mc:AlternateContent>
            </w:r>
            <w:r>
              <mc:AlternateContent>
                <mc:Choice Requires="wps">
                  <w:drawing>
                    <wp:anchor distT="0" distB="0" distL="114300" distR="114300" simplePos="0" relativeHeight="251664384" behindDoc="1" locked="0" layoutInCell="1" allowOverlap="1">
                      <wp:simplePos x="0" y="0"/>
                      <wp:positionH relativeFrom="column">
                        <wp:posOffset>2386330</wp:posOffset>
                      </wp:positionH>
                      <wp:positionV relativeFrom="paragraph">
                        <wp:posOffset>255905</wp:posOffset>
                      </wp:positionV>
                      <wp:extent cx="1270000" cy="304800"/>
                      <wp:effectExtent l="0" t="0" r="6350" b="0"/>
                      <wp:wrapNone/>
                      <wp:docPr id="6" name="LB"/>
                      <wp:cNvGraphicFramePr/>
                      <a:graphic xmlns:a="http://schemas.openxmlformats.org/drawingml/2006/main">
                        <a:graphicData uri="http://schemas.microsoft.com/office/word/2010/wordprocessingShape">
                          <wps:wsp>
                            <wps:cNvSpPr/>
                            <wps:spPr>
                              <a:xfrm>
                                <a:off x="0" y="0"/>
                                <a:ext cx="1270000" cy="30480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LB" o:spid="_x0000_s1026" o:spt="1" style="position:absolute;left:0pt;margin-left:187.9pt;margin-top:20.15pt;height:24pt;width:100pt;z-index:-251652096;v-text-anchor:middle;mso-width-relative:page;mso-height-relative:page;" fillcolor="#FFFFFF" filled="t" stroked="f" coordsize="21600,21600" o:gfxdata="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0gRy/UAAAACQEAAA8AAAAAAAAAAQAgAAAAIgAAAGRycy9kb3ducmV2Lnht&#10;bFBLAQIUABQAAAAIAIdO4kARIeJHNgIAAG4EAAAOAAAAAAAAAAEAIAAAACMBAABkcnMvZTJvRG9j&#10;LnhtbFBLBQYAAAAABgAGAFkBAADLBQAAAAA=&#10;">
                      <v:fill on="t" focussize="0,0"/>
                      <v:stroke on="f" weight="2pt"/>
                      <v:imagedata o:title=""/>
                      <o:lock v:ext="edit" aspectratio="f"/>
                    </v:rect>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9" w:type="dxa"/>
            <w:tcBorders>
              <w:top w:val="nil"/>
              <w:left w:val="nil"/>
              <w:bottom w:val="nil"/>
              <w:right w:val="nil"/>
            </w:tcBorders>
            <w:shd w:val="clear" w:color="auto" w:fill="auto"/>
          </w:tcPr>
          <w:p>
            <w:pPr>
              <w:pStyle w:val="78"/>
            </w:pPr>
          </w:p>
        </w:tc>
      </w:tr>
    </w:tbl>
    <w:p>
      <w:pPr>
        <w:pStyle w:val="126"/>
      </w:pPr>
      <w:r>
        <w:rPr>
          <w:rFonts w:hint="eastAsia" w:ascii="黑体"/>
          <w:lang w:val="en-US" w:eastAsia="zh-CN"/>
        </w:rPr>
        <w:t>2020</w:t>
      </w:r>
      <w:r>
        <w:rPr>
          <w:rFonts w:ascii="黑体"/>
        </w:rPr>
        <w:t>-</w:t>
      </w:r>
      <w:r>
        <w:rPr>
          <w:rFonts w:hint="eastAsia" w:ascii="黑体"/>
          <w:lang w:val="en-US" w:eastAsia="zh-CN"/>
        </w:rPr>
        <w:t>03</w:t>
      </w:r>
      <w:r>
        <w:rPr>
          <w:rFonts w:ascii="黑体"/>
        </w:rPr>
        <w:t>-</w:t>
      </w:r>
      <w:r>
        <w:rPr>
          <w:rFonts w:hint="eastAsia" w:ascii="黑体"/>
          <w:lang w:val="en-US" w:eastAsia="zh-CN"/>
        </w:rPr>
        <w:t>16</w:t>
      </w:r>
      <w:r>
        <w:rPr>
          <w:rFonts w:hint="eastAsia"/>
        </w:rPr>
        <w:t>发布</w:t>
      </w:r>
      <w:r>
        <w:rPr>
          <w:rFonts w:hint="eastAsi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2339340</wp:posOffset>
                </wp:positionV>
                <wp:extent cx="6120130" cy="0"/>
                <wp:effectExtent l="0" t="0" r="33655" b="19050"/>
                <wp:wrapNone/>
                <wp:docPr id="2" name="直接连接符 2"/>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0288;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jd8ps9UAAAAIAQAADwAAAAAAAAABACAAAAAiAAAAZHJzL2Rvd25yZXYueG1sUEsBAhQA&#10;FAAAAAgAh07iQF/bPte8AQAATAMAAA4AAAAAAAAAAQAgAAAAJAEAAGRycy9lMm9Eb2MueG1sUEsF&#10;BgAAAAAGAAYAWQEAAFIFAAAAAA==&#10;">
                <v:fill on="f" focussize="0,0"/>
                <v:stroke color="#000000 [3204]" joinstyle="round"/>
                <v:imagedata o:title=""/>
                <o:lock v:ext="edit" aspectratio="f"/>
              </v:lin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8891905</wp:posOffset>
                </wp:positionV>
                <wp:extent cx="6120130" cy="0"/>
                <wp:effectExtent l="0" t="0" r="33655" b="19050"/>
                <wp:wrapNone/>
                <wp:docPr id="1" name="直接连接符 1"/>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700.15pt;height:0pt;width:481.9pt;z-index:251659264;mso-width-relative:page;mso-height-relative:page;" filled="f" stroked="t" coordsize="21600,21600" o:gfxdata="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Dr9Go1QAAAAoBAAAPAAAAAAAAAAEAIAAAACIAAABkcnMvZG93bnJldi54bWxQSwECFAAU&#10;AAAACACHTuJA1NwoJLsBAABMAwAADgAAAAAAAAABACAAAAAkAQAAZHJzL2Uyb0RvYy54bWxQSwUG&#10;AAAAAAYABgBZAQAAUQUAAAAA&#10;">
                <v:fill on="f" focussize="0,0"/>
                <v:stroke color="#000000 [3204]" joinstyle="round"/>
                <v:imagedata o:title=""/>
                <o:lock v:ext="edit" aspectratio="f"/>
              </v:line>
            </w:pict>
          </mc:Fallback>
        </mc:AlternateContent>
      </w:r>
    </w:p>
    <w:p>
      <w:pPr>
        <w:pStyle w:val="127"/>
      </w:pPr>
      <w:r>
        <w:rPr>
          <w:rFonts w:hint="eastAsia" w:ascii="黑体"/>
          <w:lang w:val="en-US" w:eastAsia="zh-CN"/>
        </w:rPr>
        <w:t>2020</w:t>
      </w:r>
      <w:r>
        <w:rPr>
          <w:rFonts w:ascii="黑体"/>
        </w:rPr>
        <w:t>-</w:t>
      </w:r>
      <w:r>
        <w:rPr>
          <w:rFonts w:hint="eastAsia" w:ascii="黑体"/>
          <w:lang w:val="en-US" w:eastAsia="zh-CN"/>
        </w:rPr>
        <w:t>04</w:t>
      </w:r>
      <w:r>
        <w:rPr>
          <w:rFonts w:ascii="黑体"/>
        </w:rPr>
        <w:t>-</w:t>
      </w:r>
      <w:r>
        <w:rPr>
          <w:rFonts w:hint="eastAsia" w:ascii="黑体"/>
          <w:lang w:val="en-US" w:eastAsia="zh-CN"/>
        </w:rPr>
        <w:t>16</w:t>
      </w:r>
      <w:r>
        <w:rPr>
          <w:rFonts w:hint="eastAsia"/>
        </w:rPr>
        <w:t>实施</w:t>
      </w:r>
    </w:p>
    <w:p>
      <w:pPr>
        <w:pStyle w:val="107"/>
      </w:pPr>
      <w:r>
        <w:fldChar w:fldCharType="begin">
          <w:ffData>
            <w:name w:val="fm"/>
            <w:enabled/>
            <w:calcOnExit w:val="0"/>
            <w:textInput/>
          </w:ffData>
        </w:fldChar>
      </w:r>
      <w:bookmarkStart w:id="9" w:name="fm"/>
      <w:r>
        <w:instrText xml:space="preserve"> FORMTEXT </w:instrText>
      </w:r>
      <w:r>
        <w:fldChar w:fldCharType="separate"/>
      </w:r>
      <w:r>
        <w:rPr>
          <w:rFonts w:hint="eastAsia"/>
        </w:rPr>
        <w:t>山东省市场监督管理局</w:t>
      </w:r>
      <w:r>
        <w:fldChar w:fldCharType="end"/>
      </w:r>
      <w:bookmarkEnd w:id="9"/>
      <w:r>
        <w:t xml:space="preserve"> </w:t>
      </w:r>
      <w:r>
        <w:rPr>
          <w:rStyle w:val="69"/>
        </w:rPr>
        <w:t xml:space="preserve"> </w:t>
      </w:r>
      <w:r>
        <w:rPr>
          <w:rStyle w:val="69"/>
          <w:rFonts w:hint="eastAsia"/>
        </w:rPr>
        <w:t>发布</w:t>
      </w:r>
    </w:p>
    <w:p>
      <w:pPr>
        <w:pStyle w:val="21"/>
        <w:sectPr>
          <w:headerReference r:id="rId3" w:type="even"/>
          <w:footerReference r:id="rId4" w:type="even"/>
          <w:pgSz w:w="11906" w:h="16838"/>
          <w:pgMar w:top="567" w:right="1134" w:bottom="1134" w:left="1417" w:header="0" w:footer="0" w:gutter="0"/>
          <w:pgNumType w:start="1"/>
          <w:cols w:space="425" w:num="1"/>
          <w:docGrid w:type="lines" w:linePitch="312" w:charSpace="0"/>
        </w:sectPr>
      </w:pPr>
      <w:r>
        <w:rPr>
          <w:rFonts w:hint="eastAsia"/>
        </w:rPr>
        <mc:AlternateContent>
          <mc:Choice Requires="wps">
            <w:drawing>
              <wp:anchor distT="0" distB="0" distL="114300" distR="114300" simplePos="0" relativeHeight="251666432" behindDoc="1" locked="0" layoutInCell="1" allowOverlap="1">
                <wp:simplePos x="0" y="0"/>
                <wp:positionH relativeFrom="column">
                  <wp:posOffset>-66675</wp:posOffset>
                </wp:positionH>
                <wp:positionV relativeFrom="paragraph">
                  <wp:posOffset>396240</wp:posOffset>
                </wp:positionV>
                <wp:extent cx="866775" cy="198120"/>
                <wp:effectExtent l="0" t="0" r="9525" b="0"/>
                <wp:wrapNone/>
                <wp:docPr id="8"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w="25400" cap="flat" cmpd="sng" algn="ctr">
                          <a:noFill/>
                          <a:prstDash val="solid"/>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BAH" o:spid="_x0000_s1026" o:spt="1" style="position:absolute;left:0pt;margin-left:-5.25pt;margin-top:31.2pt;height:15.6pt;width:68.25pt;z-index:-251650048;v-text-anchor:middle;mso-width-relative:page;mso-height-relative:page;" fillcolor="#FFFFFF" filled="t" stroked="f" coordsize="21600,21600" o:gfxdata="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Wm2xzVAAAACQEAAA8AAAAAAAAAAQAgAAAAIgAAAGRycy9kb3du&#10;cmV2LnhtbFBLAQIUABQAAAAIAIdO4kBf+pFBOwIAAG4EAAAOAAAAAAAAAAEAIAAAACQBAABkcnMv&#10;ZTJvRG9jLnhtbFBLBQYAAAAABgAGAFkBAADRBQAAAAA=&#10;">
                <v:fill on="t" focussize="0,0"/>
                <v:stroke on="f" weight="2pt"/>
                <v:imagedata o:title=""/>
                <o:lock v:ext="edit" aspectratio="f"/>
              </v:rect>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2339340</wp:posOffset>
                </wp:positionV>
                <wp:extent cx="6120130" cy="0"/>
                <wp:effectExtent l="0" t="0" r="33655" b="19050"/>
                <wp:wrapNone/>
                <wp:docPr id="4" name="直接连接符 4"/>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184.2pt;height:0pt;width:481.9pt;z-index:251662336;mso-width-relative:page;mso-height-relative:page;" filled="f" stroked="t" coordsize="21600,21600" o:gfxdata="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jd8ps9UAAAAIAQAADwAAAAAAAAABACAAAAAiAAAAZHJzL2Rvd25yZXYueG1sUEsBAhQA&#10;FAAAAAgAh07iQAjSY+q8AQAATAMAAA4AAAAAAAAAAQAgAAAAJAEAAGRycy9lMm9Eb2MueG1sUEsF&#10;BgAAAAAGAAYAWQEAAFIFAAAAAA==&#10;">
                <v:fill on="f" focussize="0,0"/>
                <v:stroke color="#000000 [3204]" joinstyle="round"/>
                <v:imagedata o:title=""/>
                <o:lock v:ext="edit" aspectratio="f"/>
              </v:line>
            </w:pict>
          </mc:Fallback>
        </mc:AlternateContent>
      </w:r>
      <w:r>
        <w:rPr>
          <w:rFonts w:hint="eastAsia"/>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8891905</wp:posOffset>
                </wp:positionV>
                <wp:extent cx="6120130" cy="0"/>
                <wp:effectExtent l="0" t="0" r="33655" b="19050"/>
                <wp:wrapNone/>
                <wp:docPr id="3" name="直接连接符 3"/>
                <wp:cNvGraphicFramePr/>
                <a:graphic xmlns:a="http://schemas.openxmlformats.org/drawingml/2006/main">
                  <a:graphicData uri="http://schemas.microsoft.com/office/word/2010/wordprocessingShape">
                    <wps:wsp>
                      <wps:cNvCnPr/>
                      <wps:spPr>
                        <a:xfrm>
                          <a:off x="0" y="0"/>
                          <a:ext cx="6120000" cy="0"/>
                        </a:xfrm>
                        <a:prstGeom prst="line">
                          <a:avLst/>
                        </a:prstGeom>
                        <a:ln>
                          <a:solidFill>
                            <a:srgbClr val="0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700.15pt;height:0pt;width:481.9pt;z-index:251661312;mso-width-relative:page;mso-height-relative:page;" filled="f" stroked="t" coordsize="21600,21600" o:gfxdata="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w6/RqNUAAAAKAQAADwAAAAAAAAABACAAAAAiAAAAZHJzL2Rvd25yZXYueG1sUEsBAhQA&#10;FAAAAAgAh07iQCYmM4a8AQAATAMAAA4AAAAAAAAAAQAgAAAAJAEAAGRycy9lMm9Eb2MueG1sUEsF&#10;BgAAAAAGAAYAWQEAAFIFAAAAAA==&#10;">
                <v:fill on="f" focussize="0,0"/>
                <v:stroke color="#000000 [3204]" joinstyle="round"/>
                <v:imagedata o:title=""/>
                <o:lock v:ext="edit" aspectratio="f"/>
              </v:line>
            </w:pict>
          </mc:Fallback>
        </mc:AlternateContent>
      </w:r>
    </w:p>
    <w:p>
      <w:pPr>
        <w:pStyle w:val="108"/>
      </w:pPr>
      <w:r>
        <w:rPr>
          <w:rFonts w:hint="eastAsia"/>
        </w:rPr>
        <w:t>前</w:t>
      </w:r>
      <w:bookmarkStart w:id="10" w:name="BKQY"/>
      <w:r>
        <w:rPr>
          <w:rFonts w:hAnsi="黑体"/>
        </w:rPr>
        <w:t>  </w:t>
      </w:r>
      <w:r>
        <w:rPr>
          <w:rFonts w:hint="eastAsia"/>
        </w:rPr>
        <w:t>言</w:t>
      </w:r>
      <w:bookmarkEnd w:id="10"/>
      <w:bookmarkStart w:id="12" w:name="_GoBack"/>
      <w:bookmarkEnd w:id="12"/>
    </w:p>
    <w:p>
      <w:pPr>
        <w:pStyle w:val="21"/>
      </w:pPr>
      <w:r>
        <w:rPr>
          <w:rFonts w:hint="eastAsia"/>
        </w:rPr>
        <w:t>本标准按照GB/T 1.1－2009给出的规则起草。</w:t>
      </w:r>
    </w:p>
    <w:p>
      <w:pPr>
        <w:pStyle w:val="21"/>
      </w:pPr>
      <w:r>
        <w:rPr>
          <w:rFonts w:hint="eastAsia"/>
        </w:rPr>
        <w:t>本标准由山东省农业农村厅提出并组织实施。</w:t>
      </w:r>
    </w:p>
    <w:p>
      <w:pPr>
        <w:pStyle w:val="21"/>
      </w:pPr>
      <w:r>
        <w:rPr>
          <w:rFonts w:hint="eastAsia"/>
        </w:rPr>
        <w:t>本标准由山东省农业标准化技术委员会归口。</w:t>
      </w:r>
    </w:p>
    <w:p>
      <w:pPr>
        <w:pStyle w:val="21"/>
      </w:pPr>
      <w:r>
        <w:rPr>
          <w:rFonts w:hint="eastAsia"/>
        </w:rPr>
        <w:t>本标准起草单位：山东省农业科学院农业质量标准与检测技术研究所、山东农业工程学院。</w:t>
      </w:r>
    </w:p>
    <w:p>
      <w:pPr>
        <w:pStyle w:val="21"/>
      </w:pPr>
      <w:r>
        <w:rPr>
          <w:rFonts w:hint="eastAsia"/>
        </w:rPr>
        <w:t>本标准主要起草人：刘宾、岳晖、董崭、赵玉华、王玉涛、贾洪玉、刘文宝。</w:t>
      </w:r>
    </w:p>
    <w:p>
      <w:pPr>
        <w:pStyle w:val="21"/>
        <w:sectPr>
          <w:headerReference r:id="rId5" w:type="default"/>
          <w:footerReference r:id="rId6" w:type="default"/>
          <w:pgSz w:w="11906" w:h="16838"/>
          <w:pgMar w:top="567" w:right="1134" w:bottom="1134" w:left="1417" w:header="1418" w:footer="1134" w:gutter="0"/>
          <w:pgNumType w:fmt="upperRoman" w:start="1"/>
          <w:cols w:space="425" w:num="1"/>
          <w:formProt w:val="0"/>
          <w:docGrid w:type="lines" w:linePitch="312" w:charSpace="0"/>
        </w:sectPr>
      </w:pPr>
    </w:p>
    <w:p>
      <w:pPr>
        <w:pStyle w:val="46"/>
      </w:pPr>
      <w:sdt>
        <w:sdtPr>
          <w:alias w:val="标准名称"/>
          <w:tag w:val="标准名称"/>
          <w:id w:val="1795105741"/>
          <w:lock w:val="sdtLocked"/>
          <w:placeholder>
            <w:docPart w:val="111"/>
          </w:placeholder>
          <w:text w:multiLine="1"/>
        </w:sdtPr>
        <w:sdtContent>
          <w:r>
            <w:rPr>
              <w:rFonts w:hint="eastAsia"/>
            </w:rPr>
            <w:t>农产品质量安全监测样品制备技术规程</w:t>
          </w:r>
        </w:sdtContent>
      </w:sdt>
      <w:bookmarkStart w:id="11" w:name="StandardName"/>
      <w:bookmarkEnd w:id="11"/>
    </w:p>
    <w:p>
      <w:pPr>
        <w:pStyle w:val="41"/>
        <w:spacing w:before="312" w:after="312"/>
      </w:pPr>
      <w:r>
        <w:rPr>
          <w:rFonts w:hint="eastAsia"/>
        </w:rPr>
        <w:t>范围</w:t>
      </w:r>
    </w:p>
    <w:p>
      <w:pPr>
        <w:pStyle w:val="21"/>
      </w:pPr>
      <w:r>
        <w:rPr>
          <w:rFonts w:hint="eastAsia"/>
        </w:rPr>
        <w:t>本标准规定了蔬菜、水果、谷物与油料等样品的制备方法。</w:t>
      </w:r>
    </w:p>
    <w:p>
      <w:pPr>
        <w:pStyle w:val="21"/>
      </w:pPr>
      <w:r>
        <w:rPr>
          <w:rFonts w:hint="eastAsia"/>
        </w:rPr>
        <w:t>本标准适用于山东省各级农业农村行政主管部门组织的农产品质量安全监测样品的制备。</w:t>
      </w:r>
    </w:p>
    <w:p>
      <w:pPr>
        <w:pStyle w:val="41"/>
        <w:spacing w:before="312" w:after="312"/>
      </w:pPr>
      <w:r>
        <w:rPr>
          <w:rFonts w:hint="eastAsia"/>
        </w:rPr>
        <w:t>规范性引用文件</w:t>
      </w:r>
    </w:p>
    <w:p>
      <w:pPr>
        <w:pStyle w:val="21"/>
      </w:pPr>
      <w:r>
        <w:rPr>
          <w:rFonts w:hint="eastAsia"/>
        </w:rPr>
        <w:t>下列文件对于本文件的应用是必不可少的。凡是注日期的引用文件，仅注日期的版本适用于本文件。凡是不注日期的引用文件，其最新版本（包括所有的修改单）适用于本文件。</w:t>
      </w:r>
    </w:p>
    <w:p>
      <w:pPr>
        <w:pStyle w:val="21"/>
      </w:pPr>
      <w:r>
        <w:rPr>
          <w:rFonts w:hint="eastAsia"/>
        </w:rPr>
        <w:t>GB 2761　食品安全国家标准　食品中真菌毒素限量</w:t>
      </w:r>
    </w:p>
    <w:p>
      <w:pPr>
        <w:pStyle w:val="21"/>
      </w:pPr>
      <w:r>
        <w:rPr>
          <w:rFonts w:hint="eastAsia"/>
        </w:rPr>
        <w:t>GB 2762　食品安全国家标准　食品中污染物限量</w:t>
      </w:r>
    </w:p>
    <w:p>
      <w:pPr>
        <w:pStyle w:val="41"/>
        <w:spacing w:before="312" w:after="312"/>
      </w:pPr>
      <w:r>
        <w:rPr>
          <w:rFonts w:hint="eastAsia"/>
        </w:rPr>
        <w:t>一般要求</w:t>
      </w:r>
    </w:p>
    <w:p>
      <w:pPr>
        <w:pStyle w:val="38"/>
        <w:spacing w:before="156" w:after="156"/>
      </w:pPr>
      <w:r>
        <w:rPr>
          <w:rFonts w:hint="eastAsia"/>
        </w:rPr>
        <w:t>样品制备人员</w:t>
      </w:r>
    </w:p>
    <w:p>
      <w:pPr>
        <w:pStyle w:val="59"/>
        <w:jc w:val="both"/>
      </w:pPr>
      <w:r>
        <w:rPr>
          <w:rFonts w:hint="eastAsia"/>
        </w:rPr>
        <w:t>农产品质量安全检测机构应指定专人负责样品制备，对样品制备人员应进行培训、考核及授权。</w:t>
      </w:r>
    </w:p>
    <w:p>
      <w:pPr>
        <w:pStyle w:val="59"/>
        <w:jc w:val="both"/>
      </w:pPr>
      <w:r>
        <w:rPr>
          <w:rFonts w:hint="eastAsia"/>
        </w:rPr>
        <w:t>在制样过程中应避免样品污染，应戴手套和口罩；及时、准确地记录样品制备的相关信息。</w:t>
      </w:r>
    </w:p>
    <w:p>
      <w:pPr>
        <w:pStyle w:val="38"/>
        <w:spacing w:before="156" w:after="156"/>
      </w:pPr>
      <w:r>
        <w:rPr>
          <w:rFonts w:hint="eastAsia"/>
        </w:rPr>
        <w:t>制备场所</w:t>
      </w:r>
    </w:p>
    <w:p>
      <w:pPr>
        <w:pStyle w:val="21"/>
      </w:pPr>
      <w:r>
        <w:rPr>
          <w:rFonts w:hint="eastAsia"/>
        </w:rPr>
        <w:t>应具有相对独立的样品制备区域，满足样品制备条件，并与样品保存、检测区域等有效隔离，避免交叉污染。</w:t>
      </w:r>
    </w:p>
    <w:p>
      <w:pPr>
        <w:pStyle w:val="38"/>
        <w:spacing w:before="156" w:after="156"/>
      </w:pPr>
      <w:r>
        <w:rPr>
          <w:rFonts w:hint="eastAsia"/>
        </w:rPr>
        <w:t>制备工具</w:t>
      </w:r>
    </w:p>
    <w:p>
      <w:pPr>
        <w:pStyle w:val="21"/>
      </w:pPr>
      <w:r>
        <w:rPr>
          <w:rFonts w:hint="eastAsia"/>
        </w:rPr>
        <w:t>选择满足样品检测要求的制样器具（见表1）。制样器具确保清洁，每次制样后应清洗干净，防止制备过程带来污染。</w:t>
      </w:r>
    </w:p>
    <w:p>
      <w:pPr>
        <w:pStyle w:val="122"/>
        <w:spacing w:before="156" w:after="156"/>
      </w:pPr>
      <w:r>
        <w:rPr>
          <w:rFonts w:hint="eastAsia"/>
        </w:rPr>
        <w:t>常用样品制备工具</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9"/>
        <w:gridCol w:w="7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样品检测项目</w:t>
            </w:r>
          </w:p>
        </w:tc>
        <w:tc>
          <w:tcPr>
            <w:tcW w:w="371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样品制备工具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农药残留</w:t>
            </w:r>
          </w:p>
        </w:tc>
        <w:tc>
          <w:tcPr>
            <w:tcW w:w="371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食品加工机（破壁机）、不锈钢刀、旋风磨等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重金属</w:t>
            </w:r>
          </w:p>
        </w:tc>
        <w:tc>
          <w:tcPr>
            <w:tcW w:w="371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玛瑙研钵、旋风磨、陶瓷刀等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生物毒素</w:t>
            </w:r>
          </w:p>
        </w:tc>
        <w:tc>
          <w:tcPr>
            <w:tcW w:w="371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不锈钢磨、旋风磨等</w:t>
            </w:r>
          </w:p>
        </w:tc>
      </w:tr>
    </w:tbl>
    <w:p>
      <w:pPr>
        <w:pStyle w:val="41"/>
        <w:spacing w:before="312" w:after="312"/>
      </w:pPr>
      <w:r>
        <w:rPr>
          <w:rFonts w:hint="eastAsia"/>
        </w:rPr>
        <w:t>制备方法</w:t>
      </w:r>
    </w:p>
    <w:p>
      <w:pPr>
        <w:pStyle w:val="38"/>
        <w:spacing w:before="156" w:after="156"/>
      </w:pPr>
      <w:r>
        <w:rPr>
          <w:rFonts w:hint="eastAsia"/>
        </w:rPr>
        <w:t>农药残留检测样品制备方法</w:t>
      </w:r>
    </w:p>
    <w:p>
      <w:pPr>
        <w:pStyle w:val="42"/>
        <w:spacing w:before="156" w:after="156"/>
      </w:pPr>
      <w:r>
        <w:rPr>
          <w:rFonts w:hint="eastAsia"/>
        </w:rPr>
        <w:t>取样</w:t>
      </w:r>
    </w:p>
    <w:p>
      <w:pPr>
        <w:pStyle w:val="21"/>
      </w:pPr>
      <w:r>
        <w:rPr>
          <w:rFonts w:hint="eastAsia"/>
        </w:rPr>
        <w:t>按附录A规定的取样部位进行取样。</w:t>
      </w:r>
    </w:p>
    <w:p>
      <w:pPr>
        <w:pStyle w:val="42"/>
        <w:spacing w:before="156" w:after="156"/>
      </w:pPr>
      <w:r>
        <w:rPr>
          <w:rFonts w:hint="eastAsia"/>
        </w:rPr>
        <w:t>预处理</w:t>
      </w:r>
    </w:p>
    <w:p>
      <w:pPr>
        <w:pStyle w:val="109"/>
      </w:pPr>
      <w:r>
        <w:rPr>
          <w:rFonts w:hint="eastAsia"/>
        </w:rPr>
        <w:t>样品不应水洗。如样品表面有附着物，应用毛刷或纱布擦去。</w:t>
      </w:r>
    </w:p>
    <w:p>
      <w:pPr>
        <w:pStyle w:val="109"/>
      </w:pPr>
      <w:r>
        <w:rPr>
          <w:rFonts w:hint="eastAsia"/>
        </w:rPr>
        <w:t>样品预处理方式为：</w:t>
      </w:r>
    </w:p>
    <w:p>
      <w:pPr>
        <w:pStyle w:val="55"/>
      </w:pPr>
      <w:r>
        <w:rPr>
          <w:rFonts w:hint="eastAsia"/>
        </w:rPr>
        <w:t>蔬菜样品应去除已明显枯萎、腐烂的叶子；</w:t>
      </w:r>
    </w:p>
    <w:p>
      <w:pPr>
        <w:pStyle w:val="55"/>
      </w:pPr>
      <w:r>
        <w:rPr>
          <w:rFonts w:hint="eastAsia"/>
        </w:rPr>
        <w:t>水果样品应去除根、柄、壳等非食用部分，其中核果类水果样品应去核，残留量计算应计入果核重量；</w:t>
      </w:r>
    </w:p>
    <w:p>
      <w:pPr>
        <w:pStyle w:val="55"/>
      </w:pPr>
      <w:r>
        <w:rPr>
          <w:rFonts w:hint="eastAsia"/>
        </w:rPr>
        <w:t>谷物和油料类样品应去除壳、荚等非食用部分，取籽粒制样，需要晾晒、干制的，应按实际要求处理样品。</w:t>
      </w:r>
    </w:p>
    <w:p>
      <w:pPr>
        <w:pStyle w:val="42"/>
        <w:spacing w:before="156" w:after="156"/>
      </w:pPr>
      <w:r>
        <w:rPr>
          <w:rFonts w:hint="eastAsia"/>
        </w:rPr>
        <w:t>制备</w:t>
      </w:r>
    </w:p>
    <w:p>
      <w:pPr>
        <w:pStyle w:val="47"/>
        <w:spacing w:before="156" w:after="156"/>
      </w:pPr>
      <w:r>
        <w:rPr>
          <w:rFonts w:hint="eastAsia"/>
        </w:rPr>
        <w:t>果蔬类样品</w:t>
      </w:r>
    </w:p>
    <w:p>
      <w:pPr>
        <w:pStyle w:val="21"/>
      </w:pPr>
      <w:r>
        <w:rPr>
          <w:rFonts w:hint="eastAsia"/>
        </w:rPr>
        <w:t>个体较小的样品，全部匀浆处理。</w:t>
      </w:r>
    </w:p>
    <w:p>
      <w:pPr>
        <w:pStyle w:val="21"/>
      </w:pPr>
      <w:r>
        <w:rPr>
          <w:rFonts w:hint="eastAsia"/>
        </w:rPr>
        <w:t>个体较大的基本均匀样品，沿对称轴四分，取对角部分匀浆处理。</w:t>
      </w:r>
    </w:p>
    <w:p>
      <w:pPr>
        <w:pStyle w:val="21"/>
      </w:pPr>
      <w:r>
        <w:rPr>
          <w:rFonts w:hint="eastAsia"/>
        </w:rPr>
        <w:t>细长、扁平或不规则的样品，切段混匀后四分，取对角部分匀浆处理。</w:t>
      </w:r>
    </w:p>
    <w:p>
      <w:pPr>
        <w:pStyle w:val="47"/>
        <w:spacing w:before="156" w:after="156"/>
      </w:pPr>
      <w:r>
        <w:rPr>
          <w:rFonts w:hint="eastAsia"/>
        </w:rPr>
        <w:t>谷物和油料类样品</w:t>
      </w:r>
    </w:p>
    <w:p>
      <w:pPr>
        <w:pStyle w:val="21"/>
      </w:pPr>
      <w:r>
        <w:rPr>
          <w:rFonts w:hint="eastAsia"/>
        </w:rPr>
        <w:t>充分混匀，四分法或分样器取样，粉碎后全部通过0.425</w:t>
      </w:r>
      <w:r>
        <w:t xml:space="preserve"> </w:t>
      </w:r>
      <w:r>
        <w:rPr>
          <w:rFonts w:hint="eastAsia"/>
        </w:rPr>
        <w:t>mm试验筛（40目）。</w:t>
      </w:r>
    </w:p>
    <w:p>
      <w:pPr>
        <w:pStyle w:val="42"/>
        <w:spacing w:before="156" w:after="156"/>
      </w:pPr>
      <w:r>
        <w:rPr>
          <w:rFonts w:hint="eastAsia"/>
        </w:rPr>
        <w:t>分装</w:t>
      </w:r>
    </w:p>
    <w:p>
      <w:pPr>
        <w:pStyle w:val="21"/>
      </w:pPr>
      <w:r>
        <w:rPr>
          <w:rFonts w:hint="eastAsia"/>
        </w:rPr>
        <w:t>果蔬类样品制备后，装入聚乙烯容器中密封，根据不同检测需要留存必要份数，每份200</w:t>
      </w:r>
      <w:r>
        <w:t xml:space="preserve"> </w:t>
      </w:r>
      <w:r>
        <w:rPr>
          <w:rFonts w:hint="eastAsia"/>
        </w:rPr>
        <w:t>g左右，加贴样品标识，备用。</w:t>
      </w:r>
    </w:p>
    <w:p>
      <w:pPr>
        <w:pStyle w:val="21"/>
      </w:pPr>
      <w:r>
        <w:rPr>
          <w:rFonts w:hint="eastAsia"/>
        </w:rPr>
        <w:t>谷物和油料类样品制备后，装入聚乙烯容器或玻璃瓶中密封，根据不同检测需要留存必要份数，每份100</w:t>
      </w:r>
      <w:r>
        <w:t xml:space="preserve"> </w:t>
      </w:r>
      <w:r>
        <w:rPr>
          <w:rFonts w:hint="eastAsia"/>
        </w:rPr>
        <w:t>g左右，加贴样品标识，备用。</w:t>
      </w:r>
    </w:p>
    <w:p>
      <w:pPr>
        <w:pStyle w:val="42"/>
        <w:spacing w:before="156" w:after="156"/>
      </w:pPr>
      <w:r>
        <w:rPr>
          <w:rFonts w:hint="eastAsia"/>
        </w:rPr>
        <w:t>原始样品处置</w:t>
      </w:r>
    </w:p>
    <w:p>
      <w:pPr>
        <w:pStyle w:val="21"/>
      </w:pPr>
      <w:r>
        <w:rPr>
          <w:rFonts w:hint="eastAsia"/>
        </w:rPr>
        <w:t>样品制备后不再保留剩余原始样品。</w:t>
      </w:r>
    </w:p>
    <w:p>
      <w:pPr>
        <w:pStyle w:val="38"/>
        <w:spacing w:before="156" w:after="156"/>
      </w:pPr>
      <w:r>
        <w:rPr>
          <w:rFonts w:hint="eastAsia"/>
        </w:rPr>
        <w:t>重金属检测样品制备方法</w:t>
      </w:r>
    </w:p>
    <w:p>
      <w:pPr>
        <w:pStyle w:val="42"/>
        <w:spacing w:before="156" w:after="156"/>
      </w:pPr>
      <w:r>
        <w:rPr>
          <w:rFonts w:hint="eastAsia"/>
        </w:rPr>
        <w:t>取样</w:t>
      </w:r>
    </w:p>
    <w:p>
      <w:pPr>
        <w:pStyle w:val="21"/>
      </w:pPr>
      <w:r>
        <w:rPr>
          <w:rFonts w:hint="eastAsia"/>
        </w:rPr>
        <w:t>按GB 2762规定取可食用部分。</w:t>
      </w:r>
    </w:p>
    <w:p>
      <w:pPr>
        <w:pStyle w:val="42"/>
        <w:spacing w:before="156" w:after="156"/>
      </w:pPr>
      <w:r>
        <w:rPr>
          <w:rFonts w:hint="eastAsia"/>
        </w:rPr>
        <w:t>预处理</w:t>
      </w:r>
    </w:p>
    <w:p>
      <w:pPr>
        <w:pStyle w:val="21"/>
      </w:pPr>
      <w:r>
        <w:rPr>
          <w:rFonts w:hint="eastAsia"/>
        </w:rPr>
        <w:t>样品先用流动自来水清洗3遍，然后用二级水清洗3遍，用滤纸或纱布将表面水分吸干或自然晾干。</w:t>
      </w:r>
    </w:p>
    <w:p>
      <w:pPr>
        <w:pStyle w:val="42"/>
        <w:spacing w:before="156" w:after="156"/>
      </w:pPr>
      <w:r>
        <w:rPr>
          <w:rFonts w:hint="eastAsia"/>
        </w:rPr>
        <w:t>制备</w:t>
      </w:r>
    </w:p>
    <w:p>
      <w:pPr>
        <w:pStyle w:val="21"/>
      </w:pPr>
      <w:r>
        <w:rPr>
          <w:rFonts w:hint="eastAsia"/>
        </w:rPr>
        <w:t>同4.1.3。</w:t>
      </w:r>
    </w:p>
    <w:p>
      <w:pPr>
        <w:pStyle w:val="42"/>
        <w:spacing w:before="156" w:after="156"/>
      </w:pPr>
      <w:r>
        <w:rPr>
          <w:rFonts w:hint="eastAsia"/>
        </w:rPr>
        <w:t>分装</w:t>
      </w:r>
    </w:p>
    <w:p>
      <w:pPr>
        <w:pStyle w:val="21"/>
      </w:pPr>
      <w:r>
        <w:rPr>
          <w:rFonts w:hint="eastAsia"/>
        </w:rPr>
        <w:t>同4.1.4。</w:t>
      </w:r>
    </w:p>
    <w:p>
      <w:pPr>
        <w:pStyle w:val="42"/>
        <w:spacing w:before="156" w:after="156"/>
      </w:pPr>
      <w:r>
        <w:rPr>
          <w:rFonts w:hint="eastAsia"/>
        </w:rPr>
        <w:t>原始样品处置</w:t>
      </w:r>
    </w:p>
    <w:p>
      <w:pPr>
        <w:pStyle w:val="21"/>
      </w:pPr>
      <w:r>
        <w:rPr>
          <w:rFonts w:hint="eastAsia"/>
        </w:rPr>
        <w:t>样品制备后不再保留剩余原始样品。</w:t>
      </w:r>
    </w:p>
    <w:p>
      <w:pPr>
        <w:pStyle w:val="38"/>
        <w:spacing w:before="156" w:after="156"/>
      </w:pPr>
      <w:r>
        <w:rPr>
          <w:rFonts w:hint="eastAsia"/>
        </w:rPr>
        <w:t>生物毒素检测样品制备方法</w:t>
      </w:r>
    </w:p>
    <w:p>
      <w:pPr>
        <w:pStyle w:val="42"/>
        <w:spacing w:before="156" w:after="156"/>
      </w:pPr>
      <w:r>
        <w:rPr>
          <w:rFonts w:hint="eastAsia"/>
        </w:rPr>
        <w:t>取样</w:t>
      </w:r>
    </w:p>
    <w:p>
      <w:pPr>
        <w:pStyle w:val="21"/>
      </w:pPr>
      <w:r>
        <w:rPr>
          <w:rFonts w:hint="eastAsia"/>
        </w:rPr>
        <w:t>按GB 2761规定取可食用部分。</w:t>
      </w:r>
    </w:p>
    <w:p>
      <w:pPr>
        <w:pStyle w:val="42"/>
        <w:spacing w:before="156" w:after="156"/>
      </w:pPr>
      <w:r>
        <w:rPr>
          <w:rFonts w:hint="eastAsia"/>
        </w:rPr>
        <w:t>预处理</w:t>
      </w:r>
    </w:p>
    <w:p>
      <w:pPr>
        <w:pStyle w:val="21"/>
      </w:pPr>
      <w:r>
        <w:rPr>
          <w:rFonts w:hint="eastAsia"/>
        </w:rPr>
        <w:t>样品去除杂质，去壳、荚等非食用部分，取籽粒部分。</w:t>
      </w:r>
    </w:p>
    <w:p>
      <w:pPr>
        <w:pStyle w:val="42"/>
        <w:spacing w:before="156" w:after="156"/>
      </w:pPr>
      <w:r>
        <w:rPr>
          <w:rFonts w:hint="eastAsia"/>
        </w:rPr>
        <w:t>制备</w:t>
      </w:r>
    </w:p>
    <w:p>
      <w:pPr>
        <w:pStyle w:val="21"/>
      </w:pPr>
      <w:r>
        <w:rPr>
          <w:rFonts w:hint="eastAsia"/>
        </w:rPr>
        <w:t>充分混匀，全部粉碎处理后通过1</w:t>
      </w:r>
      <w:r>
        <w:t xml:space="preserve"> </w:t>
      </w:r>
      <w:r>
        <w:rPr>
          <w:rFonts w:hint="eastAsia"/>
        </w:rPr>
        <w:t>mm试验筛（18目）。</w:t>
      </w:r>
    </w:p>
    <w:p>
      <w:pPr>
        <w:pStyle w:val="42"/>
        <w:spacing w:before="156" w:after="156"/>
      </w:pPr>
      <w:r>
        <w:rPr>
          <w:rFonts w:hint="eastAsia"/>
        </w:rPr>
        <w:t>分装</w:t>
      </w:r>
    </w:p>
    <w:p>
      <w:pPr>
        <w:pStyle w:val="21"/>
      </w:pPr>
      <w:r>
        <w:rPr>
          <w:rFonts w:hint="eastAsia"/>
        </w:rPr>
        <w:t>同4.1.4。</w:t>
      </w:r>
    </w:p>
    <w:p>
      <w:pPr>
        <w:pStyle w:val="41"/>
        <w:spacing w:before="312" w:after="312"/>
      </w:pPr>
      <w:r>
        <w:rPr>
          <w:rFonts w:hint="eastAsia"/>
        </w:rPr>
        <w:t>样品份数和标识</w:t>
      </w:r>
    </w:p>
    <w:p>
      <w:pPr>
        <w:pStyle w:val="38"/>
        <w:spacing w:before="156" w:after="156"/>
      </w:pPr>
      <w:r>
        <w:rPr>
          <w:rFonts w:hint="eastAsia"/>
        </w:rPr>
        <w:t>样品份数</w:t>
      </w:r>
    </w:p>
    <w:p>
      <w:pPr>
        <w:pStyle w:val="21"/>
      </w:pPr>
      <w:r>
        <w:rPr>
          <w:rFonts w:hint="eastAsia"/>
        </w:rPr>
        <w:t>风险监测样品制备至少2份，一份用于检测（正样），一份用于需要时复查或确证用（副样）；监督抽查样品制备至少3份，一份用于检测（正样），一份用于需要时复查或确证用（副样），一份作留样备复议用（备样）。</w:t>
      </w:r>
    </w:p>
    <w:p>
      <w:pPr>
        <w:pStyle w:val="38"/>
        <w:spacing w:before="156" w:after="156"/>
      </w:pPr>
      <w:r>
        <w:rPr>
          <w:rFonts w:hint="eastAsia"/>
        </w:rPr>
        <w:t>样品标识</w:t>
      </w:r>
    </w:p>
    <w:p>
      <w:pPr>
        <w:pStyle w:val="21"/>
      </w:pPr>
      <w:r>
        <w:rPr>
          <w:rFonts w:hint="eastAsia"/>
        </w:rPr>
        <w:t>样品制备后应加贴样品唯一性标识，标识内容至少应包括样品编号、样品状态等信息。</w:t>
      </w:r>
    </w:p>
    <w:p>
      <w:pPr>
        <w:pStyle w:val="41"/>
        <w:spacing w:before="312" w:after="312"/>
      </w:pPr>
      <w:r>
        <w:rPr>
          <w:rFonts w:hint="eastAsia"/>
        </w:rPr>
        <w:t>样品制备记录</w:t>
      </w:r>
    </w:p>
    <w:p>
      <w:pPr>
        <w:pStyle w:val="21"/>
      </w:pPr>
      <w:r>
        <w:rPr>
          <w:rFonts w:hint="eastAsia"/>
        </w:rPr>
        <w:t>样品制备记录格式参见附录B，至少应包括样品编号、样品名称、制备方法、制样量、制备日期、制备人等信息，样品制备记录至少保存6年。</w:t>
      </w:r>
    </w:p>
    <w:p>
      <w:pPr>
        <w:pStyle w:val="94"/>
      </w:pPr>
    </w:p>
    <w:p>
      <w:pPr>
        <w:pStyle w:val="82"/>
      </w:pPr>
    </w:p>
    <w:p>
      <w:pPr>
        <w:pStyle w:val="80"/>
      </w:pPr>
      <w:r>
        <w:br w:type="textWrapping"/>
      </w:r>
      <w:r>
        <w:rPr>
          <w:rFonts w:hint="eastAsia"/>
        </w:rPr>
        <w:t>（规范性附录）</w:t>
      </w:r>
      <w:r>
        <w:br w:type="textWrapping"/>
      </w:r>
      <w:r>
        <w:rPr>
          <w:rFonts w:hint="eastAsia"/>
        </w:rPr>
        <w:t>样品取样部位</w:t>
      </w:r>
    </w:p>
    <w:p>
      <w:pPr>
        <w:pStyle w:val="83"/>
        <w:spacing w:before="156" w:after="156"/>
      </w:pPr>
      <w:r>
        <w:rPr>
          <w:rFonts w:hint="eastAsia"/>
        </w:rPr>
        <w:t>样品取样部位</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7"/>
        <w:gridCol w:w="5808"/>
        <w:gridCol w:w="2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类别</w:t>
            </w:r>
          </w:p>
        </w:tc>
        <w:tc>
          <w:tcPr>
            <w:tcW w:w="3034"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代表品种</w:t>
            </w:r>
          </w:p>
        </w:tc>
        <w:tc>
          <w:tcPr>
            <w:tcW w:w="1210"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取样部位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谷物</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稻谷、小麦、玉米、高粱、绿豆</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整粒，其中鲜食玉米包括玉米粒和轴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油料</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芝麻、棉籽、大豆、花生仁</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鳞茎类蔬菜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鳞茎葱类：大蒜、洋葱</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绿叶葱类：韭菜、葱、青蒜、蒜薹</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可食部分</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整株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芸薹属类蔬菜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结球芸薹属：结球甘蓝、球茎甘蓝、抱子甘蓝、赤球甘蓝、羽衣甘蓝</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头状花序芸薹属：花椰菜、青花菜</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茎类芸薹属：芥蓝、菜薹、茎芥菜</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整棵</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整棵，去除叶</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整棵，去除根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叶菜类蔬菜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绿叶类：菠菜、普通白菜（小白菜、小油菜、青菜）、苋菜、蕹菜、茼蒿、大叶茼蒿、叶用莴苣、结球莴苣、莴笋、苦苣、野苣、落葵、油麦菜、叶芥菜、萝卜叶、芜菁叶、菊苣</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叶柄类：芹菜、小茴香、球茎茴香</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大白菜</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整棵，去除根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茄果类蔬菜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番茄、茄子、辣椒、甜椒、黄秋葵</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全果（去柄）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瓜菜类蔬菜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黄瓜、西葫芦、节瓜、苦瓜、丝瓜、冬瓜、南瓜、笋瓜</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全瓜（去柄）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豆类蔬菜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荚可食类：豇豆、菜豆、食荚豌豆、四棱豆、扁豆、刀豆</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荚不可食类：菜用大豆、蚕豆、豌豆、菜豆</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全荚</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全豆（去荚）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茎类蔬菜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芦笋、朝鲜蓟、大黄</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根茎类蔬菜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萝卜、胡萝卜、根甜菜、根芹菜、根芥菜、姜、辣根、芜菁、桔梗</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整棵，去除顶部叶及叶柄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薯芋类蔬菜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马铃薯、甘薯、山药、牛蒡</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食用菌</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香菇、金针菇、平菇、茶树菇、竹荪、草菇、羊肚菌、牛肝菌、口蘑、松茸、双孢蘑菇、猴头菇、白灵菇、杏鲍菇、木耳、银耳、金耳、毛木耳</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整棵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仁果类水果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苹果、梨、山楂</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全果（去柄）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核果类水果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桃、油桃、杏、枣（鲜）、李子、樱桃</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全果（去柄和果核），残留量计算应计入果核的重量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浆果类及</w:t>
            </w:r>
          </w:p>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其他小水果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小型攀缘类：葡萄、猕猴桃</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藤蔓和灌木类：草莓、黑莓、蓝莓、桑葚</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全果</w:t>
            </w:r>
          </w:p>
          <w:p>
            <w:pPr>
              <w:rPr>
                <w:rFonts w:asciiTheme="minorEastAsia" w:hAnsiTheme="minorEastAsia" w:eastAsiaTheme="minorEastAsia"/>
                <w:sz w:val="18"/>
                <w:szCs w:val="18"/>
              </w:rPr>
            </w:pPr>
            <w:r>
              <w:rPr>
                <w:rFonts w:hint="eastAsia" w:asciiTheme="minorEastAsia" w:hAnsiTheme="minorEastAsia" w:eastAsiaTheme="minorEastAsia"/>
                <w:sz w:val="18"/>
                <w:szCs w:val="18"/>
              </w:rPr>
              <w:t>全果（去柄）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pct"/>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瓜果类水果</w:t>
            </w:r>
          </w:p>
        </w:tc>
        <w:tc>
          <w:tcPr>
            <w:tcW w:w="3034"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甜瓜、西瓜</w:t>
            </w:r>
          </w:p>
        </w:tc>
        <w:tc>
          <w:tcPr>
            <w:tcW w:w="1210" w:type="pct"/>
            <w:vAlign w:val="center"/>
          </w:tcPr>
          <w:p>
            <w:pPr>
              <w:rPr>
                <w:rFonts w:asciiTheme="minorEastAsia" w:hAnsiTheme="minorEastAsia" w:eastAsiaTheme="minorEastAsia"/>
                <w:sz w:val="18"/>
                <w:szCs w:val="18"/>
              </w:rPr>
            </w:pPr>
            <w:r>
              <w:rPr>
                <w:rFonts w:hint="eastAsia" w:asciiTheme="minorEastAsia" w:hAnsiTheme="minorEastAsia" w:eastAsiaTheme="minorEastAsia"/>
                <w:sz w:val="18"/>
                <w:szCs w:val="18"/>
              </w:rPr>
              <w:t>全瓜</w:t>
            </w:r>
          </w:p>
        </w:tc>
      </w:tr>
    </w:tbl>
    <w:p>
      <w:pPr>
        <w:pStyle w:val="21"/>
      </w:pPr>
    </w:p>
    <w:p>
      <w:pPr>
        <w:pStyle w:val="94"/>
      </w:pPr>
    </w:p>
    <w:p>
      <w:pPr>
        <w:pStyle w:val="82"/>
      </w:pPr>
    </w:p>
    <w:p>
      <w:pPr>
        <w:pStyle w:val="80"/>
      </w:pPr>
      <w:r>
        <w:br w:type="textWrapping"/>
      </w:r>
      <w:r>
        <w:rPr>
          <w:rFonts w:hint="eastAsia"/>
        </w:rPr>
        <w:t>（资料性附录）</w:t>
      </w:r>
      <w:r>
        <w:br w:type="textWrapping"/>
      </w:r>
      <w:r>
        <w:rPr>
          <w:rFonts w:hint="eastAsia"/>
        </w:rPr>
        <w:t>样品制备记录</w:t>
      </w:r>
    </w:p>
    <w:p>
      <w:pPr>
        <w:pStyle w:val="83"/>
        <w:spacing w:before="156" w:after="156"/>
      </w:pPr>
      <w:r>
        <w:rPr>
          <w:rFonts w:hint="eastAsia"/>
        </w:rPr>
        <w:t>样品制备记录表</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4"/>
        <w:gridCol w:w="1244"/>
        <w:gridCol w:w="1244"/>
        <w:gridCol w:w="2106"/>
        <w:gridCol w:w="1244"/>
        <w:gridCol w:w="1244"/>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0" w:type="pct"/>
            <w:vAlign w:val="center"/>
          </w:tcPr>
          <w:p>
            <w:pPr>
              <w:jc w:val="center"/>
              <w:rPr>
                <w:b/>
              </w:rPr>
            </w:pPr>
            <w:r>
              <w:rPr>
                <w:rFonts w:hint="eastAsia"/>
                <w:b/>
              </w:rPr>
              <w:t>样品编号</w:t>
            </w:r>
          </w:p>
        </w:tc>
        <w:tc>
          <w:tcPr>
            <w:tcW w:w="650" w:type="pct"/>
            <w:vAlign w:val="center"/>
          </w:tcPr>
          <w:p>
            <w:pPr>
              <w:jc w:val="center"/>
              <w:rPr>
                <w:b/>
              </w:rPr>
            </w:pPr>
            <w:r>
              <w:rPr>
                <w:rFonts w:hint="eastAsia"/>
                <w:b/>
              </w:rPr>
              <w:t>样品名称</w:t>
            </w:r>
          </w:p>
        </w:tc>
        <w:tc>
          <w:tcPr>
            <w:tcW w:w="650" w:type="pct"/>
            <w:vAlign w:val="center"/>
          </w:tcPr>
          <w:p>
            <w:pPr>
              <w:jc w:val="center"/>
              <w:rPr>
                <w:b/>
              </w:rPr>
            </w:pPr>
            <w:r>
              <w:rPr>
                <w:rFonts w:hint="eastAsia"/>
                <w:b/>
              </w:rPr>
              <w:t>制备方法</w:t>
            </w:r>
          </w:p>
        </w:tc>
        <w:tc>
          <w:tcPr>
            <w:tcW w:w="1100" w:type="pct"/>
            <w:vAlign w:val="center"/>
          </w:tcPr>
          <w:p>
            <w:pPr>
              <w:jc w:val="center"/>
              <w:rPr>
                <w:b/>
              </w:rPr>
            </w:pPr>
            <w:r>
              <w:rPr>
                <w:rFonts w:hint="eastAsia"/>
                <w:b/>
              </w:rPr>
              <w:t>制样量</w:t>
            </w:r>
          </w:p>
        </w:tc>
        <w:tc>
          <w:tcPr>
            <w:tcW w:w="650" w:type="pct"/>
            <w:vAlign w:val="center"/>
          </w:tcPr>
          <w:p>
            <w:pPr>
              <w:jc w:val="center"/>
              <w:rPr>
                <w:b/>
              </w:rPr>
            </w:pPr>
            <w:r>
              <w:rPr>
                <w:rFonts w:hint="eastAsia"/>
                <w:b/>
              </w:rPr>
              <w:t>制备日期</w:t>
            </w:r>
          </w:p>
        </w:tc>
        <w:tc>
          <w:tcPr>
            <w:tcW w:w="650" w:type="pct"/>
            <w:vAlign w:val="center"/>
          </w:tcPr>
          <w:p>
            <w:pPr>
              <w:jc w:val="center"/>
              <w:rPr>
                <w:b/>
              </w:rPr>
            </w:pPr>
            <w:r>
              <w:rPr>
                <w:rFonts w:hint="eastAsia"/>
                <w:b/>
              </w:rPr>
              <w:t>制备人</w:t>
            </w:r>
          </w:p>
        </w:tc>
        <w:tc>
          <w:tcPr>
            <w:tcW w:w="650" w:type="pct"/>
            <w:vAlign w:val="center"/>
          </w:tcPr>
          <w:p>
            <w:pPr>
              <w:jc w:val="center"/>
              <w:rPr>
                <w:b/>
              </w:rPr>
            </w:pPr>
            <w:r>
              <w:rPr>
                <w:rFonts w:hint="eastAsia"/>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0" w:type="pct"/>
            <w:vAlign w:val="center"/>
          </w:tcPr>
          <w:p>
            <w:pPr>
              <w:jc w:val="center"/>
            </w:pPr>
          </w:p>
        </w:tc>
        <w:tc>
          <w:tcPr>
            <w:tcW w:w="650" w:type="pct"/>
            <w:vAlign w:val="center"/>
          </w:tcPr>
          <w:p>
            <w:pPr>
              <w:jc w:val="center"/>
            </w:pPr>
          </w:p>
        </w:tc>
        <w:tc>
          <w:tcPr>
            <w:tcW w:w="650" w:type="pct"/>
            <w:vAlign w:val="center"/>
          </w:tcPr>
          <w:p>
            <w:pPr>
              <w:jc w:val="center"/>
            </w:pPr>
          </w:p>
        </w:tc>
        <w:tc>
          <w:tcPr>
            <w:tcW w:w="1100" w:type="pct"/>
            <w:vAlign w:val="center"/>
          </w:tcPr>
          <w:p>
            <w:r>
              <w:rPr>
                <w:rFonts w:hint="eastAsia"/>
              </w:rPr>
              <w:t>□正样：</w:t>
            </w:r>
          </w:p>
          <w:p>
            <w:r>
              <w:rPr>
                <w:rFonts w:hint="eastAsia"/>
              </w:rPr>
              <w:t>□副样：</w:t>
            </w:r>
          </w:p>
          <w:p>
            <w:r>
              <w:rPr>
                <w:rFonts w:hint="eastAsia"/>
              </w:rPr>
              <w:t>□备样：</w:t>
            </w:r>
          </w:p>
        </w:tc>
        <w:tc>
          <w:tcPr>
            <w:tcW w:w="650" w:type="pct"/>
            <w:vAlign w:val="center"/>
          </w:tcPr>
          <w:p>
            <w:pPr>
              <w:jc w:val="center"/>
            </w:pPr>
          </w:p>
        </w:tc>
        <w:tc>
          <w:tcPr>
            <w:tcW w:w="650" w:type="pct"/>
            <w:vAlign w:val="center"/>
          </w:tcPr>
          <w:p>
            <w:pPr>
              <w:jc w:val="center"/>
            </w:pPr>
          </w:p>
        </w:tc>
        <w:tc>
          <w:tcPr>
            <w:tcW w:w="650" w:type="pct"/>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0" w:type="pct"/>
            <w:vAlign w:val="center"/>
          </w:tcPr>
          <w:p>
            <w:pPr>
              <w:jc w:val="center"/>
            </w:pPr>
          </w:p>
        </w:tc>
        <w:tc>
          <w:tcPr>
            <w:tcW w:w="650" w:type="pct"/>
            <w:vAlign w:val="center"/>
          </w:tcPr>
          <w:p>
            <w:pPr>
              <w:jc w:val="center"/>
            </w:pPr>
          </w:p>
        </w:tc>
        <w:tc>
          <w:tcPr>
            <w:tcW w:w="650" w:type="pct"/>
            <w:vAlign w:val="center"/>
          </w:tcPr>
          <w:p>
            <w:pPr>
              <w:jc w:val="center"/>
            </w:pPr>
          </w:p>
        </w:tc>
        <w:tc>
          <w:tcPr>
            <w:tcW w:w="1100" w:type="pct"/>
            <w:vAlign w:val="center"/>
          </w:tcPr>
          <w:p>
            <w:r>
              <w:rPr>
                <w:rFonts w:hint="eastAsia"/>
              </w:rPr>
              <w:t>□正样：</w:t>
            </w:r>
          </w:p>
          <w:p>
            <w:r>
              <w:rPr>
                <w:rFonts w:hint="eastAsia"/>
              </w:rPr>
              <w:t>□副样：</w:t>
            </w:r>
          </w:p>
          <w:p>
            <w:r>
              <w:rPr>
                <w:rFonts w:hint="eastAsia"/>
              </w:rPr>
              <w:t>□备样：</w:t>
            </w:r>
          </w:p>
        </w:tc>
        <w:tc>
          <w:tcPr>
            <w:tcW w:w="650" w:type="pct"/>
            <w:vAlign w:val="center"/>
          </w:tcPr>
          <w:p>
            <w:pPr>
              <w:jc w:val="center"/>
            </w:pPr>
          </w:p>
        </w:tc>
        <w:tc>
          <w:tcPr>
            <w:tcW w:w="650" w:type="pct"/>
            <w:vAlign w:val="center"/>
          </w:tcPr>
          <w:p>
            <w:pPr>
              <w:jc w:val="center"/>
            </w:pPr>
          </w:p>
        </w:tc>
        <w:tc>
          <w:tcPr>
            <w:tcW w:w="650" w:type="pct"/>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0" w:type="pct"/>
            <w:vAlign w:val="center"/>
          </w:tcPr>
          <w:p>
            <w:pPr>
              <w:jc w:val="center"/>
            </w:pPr>
          </w:p>
        </w:tc>
        <w:tc>
          <w:tcPr>
            <w:tcW w:w="650" w:type="pct"/>
            <w:vAlign w:val="center"/>
          </w:tcPr>
          <w:p>
            <w:pPr>
              <w:jc w:val="center"/>
            </w:pPr>
          </w:p>
        </w:tc>
        <w:tc>
          <w:tcPr>
            <w:tcW w:w="650" w:type="pct"/>
            <w:vAlign w:val="center"/>
          </w:tcPr>
          <w:p>
            <w:pPr>
              <w:jc w:val="center"/>
            </w:pPr>
          </w:p>
        </w:tc>
        <w:tc>
          <w:tcPr>
            <w:tcW w:w="1100" w:type="pct"/>
            <w:vAlign w:val="center"/>
          </w:tcPr>
          <w:p>
            <w:r>
              <w:rPr>
                <w:rFonts w:hint="eastAsia"/>
              </w:rPr>
              <w:t>□正样：</w:t>
            </w:r>
          </w:p>
          <w:p>
            <w:r>
              <w:rPr>
                <w:rFonts w:hint="eastAsia"/>
              </w:rPr>
              <w:t>□副样：</w:t>
            </w:r>
          </w:p>
          <w:p>
            <w:r>
              <w:rPr>
                <w:rFonts w:hint="eastAsia"/>
              </w:rPr>
              <w:t>□备样：</w:t>
            </w:r>
          </w:p>
        </w:tc>
        <w:tc>
          <w:tcPr>
            <w:tcW w:w="650" w:type="pct"/>
            <w:vAlign w:val="center"/>
          </w:tcPr>
          <w:p>
            <w:pPr>
              <w:jc w:val="center"/>
            </w:pPr>
          </w:p>
        </w:tc>
        <w:tc>
          <w:tcPr>
            <w:tcW w:w="650" w:type="pct"/>
            <w:vAlign w:val="center"/>
          </w:tcPr>
          <w:p>
            <w:pPr>
              <w:jc w:val="center"/>
            </w:pPr>
          </w:p>
        </w:tc>
        <w:tc>
          <w:tcPr>
            <w:tcW w:w="650" w:type="pct"/>
            <w:vAlign w:val="center"/>
          </w:tcPr>
          <w:p>
            <w:pPr>
              <w:jc w:val="center"/>
            </w:pPr>
          </w:p>
        </w:tc>
      </w:tr>
    </w:tbl>
    <w:p>
      <w:pPr>
        <w:pStyle w:val="21"/>
      </w:pPr>
    </w:p>
    <w:p>
      <w:pPr>
        <w:pStyle w:val="125"/>
      </w:pPr>
      <w:r>
        <w:t>_________________________________</w:t>
      </w:r>
    </w:p>
    <w:sectPr>
      <w:pgSz w:w="11906" w:h="16838"/>
      <w:pgMar w:top="567" w:right="1134" w:bottom="1134" w:left="1417" w:header="1418" w:footer="1134" w:gutter="0"/>
      <w:pgNumType w:start="1"/>
      <w:cols w:space="425"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4"/>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5"/>
      <w:jc w:val="right"/>
      <w:rPr>
        <w:rFonts w:hint="default" w:eastAsia="黑体"/>
        <w:lang w:val="en-US" w:eastAsia="zh-CN"/>
      </w:rPr>
    </w:pPr>
    <w:r>
      <w:t xml:space="preserve">DB 37/T </w:t>
    </w:r>
    <w:r>
      <w:rPr>
        <w:rFonts w:hint="eastAsia"/>
        <w:lang w:val="en-US" w:eastAsia="zh-CN"/>
      </w:rPr>
      <w:t>3870</w:t>
    </w:r>
    <w:r>
      <w:t>—</w:t>
    </w:r>
    <w:r>
      <w:rPr>
        <w:rFonts w:hint="eastAsia"/>
        <w:lang w:val="en-US" w:eastAsia="zh-CN"/>
      </w:rPr>
      <w:t>2020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rPr>
        <w:rFonts w:hint="default" w:hAnsi="黑体" w:eastAsia="黑体"/>
        <w:lang w:val="en-US" w:eastAsia="zh-CN"/>
      </w:rPr>
    </w:pPr>
    <w:r>
      <w:rPr>
        <w:rFonts w:hAnsi="黑体"/>
      </w:rPr>
      <w:t xml:space="preserve">DB 37/T </w:t>
    </w:r>
    <w:r>
      <w:rPr>
        <w:rFonts w:hint="eastAsia" w:hAnsi="黑体"/>
        <w:lang w:val="en-US" w:eastAsia="zh-CN"/>
      </w:rPr>
      <w:t>3870</w:t>
    </w:r>
    <w:r>
      <w:rPr>
        <w:rFonts w:hAnsi="黑体"/>
      </w:rPr>
      <w:t>—</w:t>
    </w:r>
    <w:r>
      <w:rPr>
        <w:rFonts w:hint="eastAsia" w:hAnsi="黑体"/>
        <w:lang w:val="en-US" w:eastAsia="zh-CN"/>
      </w:rPr>
      <w:t>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52887"/>
    <w:multiLevelType w:val="multilevel"/>
    <w:tmpl w:val="0A952887"/>
    <w:lvl w:ilvl="0" w:tentative="0">
      <w:start w:val="1"/>
      <w:numFmt w:val="decimal"/>
      <w:pStyle w:val="61"/>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
    <w:nsid w:val="0F805D97"/>
    <w:multiLevelType w:val="multilevel"/>
    <w:tmpl w:val="0F805D97"/>
    <w:lvl w:ilvl="0" w:tentative="0">
      <w:start w:val="1"/>
      <w:numFmt w:val="none"/>
      <w:pStyle w:val="53"/>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
    <w:nsid w:val="1FC91163"/>
    <w:multiLevelType w:val="multilevel"/>
    <w:tmpl w:val="1FC91163"/>
    <w:lvl w:ilvl="0" w:tentative="0">
      <w:start w:val="1"/>
      <w:numFmt w:val="decimal"/>
      <w:pStyle w:val="4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8"/>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42"/>
      <w:suff w:val="nothing"/>
      <w:lvlText w:val="%1.%2.%3　"/>
      <w:lvlJc w:val="left"/>
      <w:pPr>
        <w:ind w:left="0" w:firstLine="0"/>
      </w:pPr>
      <w:rPr>
        <w:rFonts w:hint="eastAsia" w:ascii="黑体" w:hAnsi="Times New Roman" w:eastAsia="黑体"/>
        <w:b w:val="0"/>
        <w:i w:val="0"/>
        <w:sz w:val="21"/>
      </w:rPr>
    </w:lvl>
    <w:lvl w:ilvl="3" w:tentative="0">
      <w:start w:val="1"/>
      <w:numFmt w:val="decimal"/>
      <w:pStyle w:val="47"/>
      <w:suff w:val="nothing"/>
      <w:lvlText w:val="%1.%2.%3.%4　"/>
      <w:lvlJc w:val="left"/>
      <w:pPr>
        <w:ind w:left="0" w:firstLine="0"/>
      </w:pPr>
      <w:rPr>
        <w:rFonts w:hint="eastAsia" w:ascii="黑体" w:hAnsi="Times New Roman" w:eastAsia="黑体"/>
        <w:b w:val="0"/>
        <w:i w:val="0"/>
        <w:sz w:val="21"/>
      </w:rPr>
    </w:lvl>
    <w:lvl w:ilvl="4" w:tentative="0">
      <w:start w:val="1"/>
      <w:numFmt w:val="decimal"/>
      <w:pStyle w:val="51"/>
      <w:suff w:val="nothing"/>
      <w:lvlText w:val="%1.%2.%3.%4.%5　"/>
      <w:lvlJc w:val="left"/>
      <w:pPr>
        <w:ind w:left="0" w:firstLine="0"/>
      </w:pPr>
      <w:rPr>
        <w:rFonts w:hint="eastAsia" w:ascii="黑体" w:hAnsi="Times New Roman" w:eastAsia="黑体"/>
        <w:b w:val="0"/>
        <w:i w:val="0"/>
        <w:sz w:val="21"/>
      </w:rPr>
    </w:lvl>
    <w:lvl w:ilvl="5" w:tentative="0">
      <w:start w:val="1"/>
      <w:numFmt w:val="decimal"/>
      <w:pStyle w:val="52"/>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B435DB"/>
    <w:multiLevelType w:val="multilevel"/>
    <w:tmpl w:val="24B435DB"/>
    <w:lvl w:ilvl="0" w:tentative="0">
      <w:start w:val="1"/>
      <w:numFmt w:val="lowerLetter"/>
      <w:pStyle w:val="117"/>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29707437"/>
    <w:multiLevelType w:val="multilevel"/>
    <w:tmpl w:val="29707437"/>
    <w:lvl w:ilvl="0" w:tentative="0">
      <w:start w:val="1"/>
      <w:numFmt w:val="none"/>
      <w:pStyle w:val="60"/>
      <w:suff w:val="nothing"/>
      <w:lvlText w:val="%1注："/>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2A8F7113"/>
    <w:multiLevelType w:val="multilevel"/>
    <w:tmpl w:val="2A8F7113"/>
    <w:lvl w:ilvl="0" w:tentative="0">
      <w:start w:val="1"/>
      <w:numFmt w:val="upperLetter"/>
      <w:pStyle w:val="94"/>
      <w:suff w:val="space"/>
      <w:lvlText w:val="%1"/>
      <w:lvlJc w:val="left"/>
      <w:pPr>
        <w:ind w:left="623" w:hanging="425"/>
      </w:pPr>
      <w:rPr>
        <w:rFonts w:hint="eastAsia"/>
      </w:rPr>
    </w:lvl>
    <w:lvl w:ilvl="1" w:tentative="0">
      <w:start w:val="1"/>
      <w:numFmt w:val="decimal"/>
      <w:pStyle w:val="95"/>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6">
    <w:nsid w:val="2C5917C3"/>
    <w:multiLevelType w:val="multilevel"/>
    <w:tmpl w:val="2C5917C3"/>
    <w:lvl w:ilvl="0" w:tentative="0">
      <w:start w:val="1"/>
      <w:numFmt w:val="none"/>
      <w:pStyle w:val="44"/>
      <w:suff w:val="nothing"/>
      <w:lvlText w:val="%1——"/>
      <w:lvlJc w:val="left"/>
      <w:pPr>
        <w:ind w:left="833" w:hanging="408"/>
      </w:pPr>
      <w:rPr>
        <w:rFonts w:hint="eastAsia"/>
      </w:rPr>
    </w:lvl>
    <w:lvl w:ilvl="1" w:tentative="0">
      <w:start w:val="1"/>
      <w:numFmt w:val="bullet"/>
      <w:pStyle w:val="45"/>
      <w:lvlText w:val=""/>
      <w:lvlJc w:val="left"/>
      <w:pPr>
        <w:tabs>
          <w:tab w:val="left" w:pos="760"/>
        </w:tabs>
        <w:ind w:left="1264" w:hanging="413"/>
      </w:pPr>
      <w:rPr>
        <w:rFonts w:hint="default" w:ascii="Symbol" w:hAnsi="Symbol"/>
        <w:color w:val="auto"/>
      </w:rPr>
    </w:lvl>
    <w:lvl w:ilvl="2" w:tentative="0">
      <w:start w:val="1"/>
      <w:numFmt w:val="bullet"/>
      <w:pStyle w:val="56"/>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7">
    <w:nsid w:val="3D733618"/>
    <w:multiLevelType w:val="multilevel"/>
    <w:tmpl w:val="3D733618"/>
    <w:lvl w:ilvl="0" w:tentative="0">
      <w:start w:val="1"/>
      <w:numFmt w:val="decimal"/>
      <w:pStyle w:val="22"/>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8">
    <w:nsid w:val="44C50F90"/>
    <w:multiLevelType w:val="multilevel"/>
    <w:tmpl w:val="44C50F90"/>
    <w:lvl w:ilvl="0" w:tentative="0">
      <w:start w:val="1"/>
      <w:numFmt w:val="lowerLetter"/>
      <w:pStyle w:val="55"/>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50"/>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57"/>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9">
    <w:nsid w:val="520F62E9"/>
    <w:multiLevelType w:val="multilevel"/>
    <w:tmpl w:val="520F62E9"/>
    <w:lvl w:ilvl="0" w:tentative="0">
      <w:start w:val="1"/>
      <w:numFmt w:val="decimal"/>
      <w:pStyle w:val="124"/>
      <w:suff w:val="nothing"/>
      <w:lvlText w:val="图%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0">
    <w:nsid w:val="5E63562F"/>
    <w:multiLevelType w:val="multilevel"/>
    <w:tmpl w:val="5E63562F"/>
    <w:lvl w:ilvl="0" w:tentative="0">
      <w:start w:val="1"/>
      <w:numFmt w:val="decimal"/>
      <w:pStyle w:val="54"/>
      <w:suff w:val="nothing"/>
      <w:lvlText w:val="注%1："/>
      <w:lvlJc w:val="left"/>
      <w:pPr>
        <w:ind w:left="0" w:firstLine="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11">
    <w:nsid w:val="60B55DC2"/>
    <w:multiLevelType w:val="multilevel"/>
    <w:tmpl w:val="60B55DC2"/>
    <w:lvl w:ilvl="0" w:tentative="0">
      <w:start w:val="1"/>
      <w:numFmt w:val="upperLetter"/>
      <w:pStyle w:val="82"/>
      <w:lvlText w:val="%1"/>
      <w:lvlJc w:val="left"/>
      <w:pPr>
        <w:tabs>
          <w:tab w:val="left" w:pos="0"/>
        </w:tabs>
        <w:ind w:left="0" w:hanging="425"/>
      </w:pPr>
      <w:rPr>
        <w:rFonts w:hint="eastAsia"/>
      </w:rPr>
    </w:lvl>
    <w:lvl w:ilvl="1" w:tentative="0">
      <w:start w:val="1"/>
      <w:numFmt w:val="decimal"/>
      <w:pStyle w:val="83"/>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2">
    <w:nsid w:val="63404DBE"/>
    <w:multiLevelType w:val="multilevel"/>
    <w:tmpl w:val="63404DBE"/>
    <w:lvl w:ilvl="0" w:tentative="0">
      <w:start w:val="1"/>
      <w:numFmt w:val="none"/>
      <w:pStyle w:val="48"/>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3">
    <w:nsid w:val="63AF7EBF"/>
    <w:multiLevelType w:val="multilevel"/>
    <w:tmpl w:val="63AF7EBF"/>
    <w:lvl w:ilvl="0" w:tentative="0">
      <w:start w:val="1"/>
      <w:numFmt w:val="decimal"/>
      <w:pStyle w:val="122"/>
      <w:suff w:val="nothing"/>
      <w:lvlText w:val="表%1　"/>
      <w:lvlJc w:val="left"/>
      <w:pPr>
        <w:ind w:left="0" w:firstLine="0"/>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657D3FBC"/>
    <w:multiLevelType w:val="multilevel"/>
    <w:tmpl w:val="657D3FBC"/>
    <w:lvl w:ilvl="0" w:tentative="0">
      <w:start w:val="1"/>
      <w:numFmt w:val="upperLetter"/>
      <w:pStyle w:val="80"/>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pStyle w:val="9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9"/>
      <w:suff w:val="nothing"/>
      <w:lvlText w:val="%1.%2.%3　"/>
      <w:lvlJc w:val="left"/>
      <w:pPr>
        <w:ind w:left="0" w:firstLine="0"/>
      </w:pPr>
      <w:rPr>
        <w:rFonts w:hint="eastAsia" w:ascii="黑体" w:hAnsi="Times New Roman" w:eastAsia="黑体"/>
        <w:b w:val="0"/>
        <w:i w:val="0"/>
        <w:sz w:val="21"/>
      </w:rPr>
    </w:lvl>
    <w:lvl w:ilvl="3" w:tentative="0">
      <w:start w:val="1"/>
      <w:numFmt w:val="decimal"/>
      <w:pStyle w:val="84"/>
      <w:suff w:val="nothing"/>
      <w:lvlText w:val="%1.%2.%3.%4　"/>
      <w:lvlJc w:val="left"/>
      <w:pPr>
        <w:ind w:left="0" w:firstLine="0"/>
      </w:pPr>
      <w:rPr>
        <w:rFonts w:hint="eastAsia" w:ascii="黑体" w:hAnsi="Times New Roman" w:eastAsia="黑体"/>
        <w:b w:val="0"/>
        <w:i w:val="0"/>
        <w:sz w:val="21"/>
      </w:rPr>
    </w:lvl>
    <w:lvl w:ilvl="4" w:tentative="0">
      <w:start w:val="1"/>
      <w:numFmt w:val="decimal"/>
      <w:pStyle w:val="89"/>
      <w:suff w:val="nothing"/>
      <w:lvlText w:val="%1.%2.%3.%4.%5　"/>
      <w:lvlJc w:val="left"/>
      <w:pPr>
        <w:ind w:left="0" w:firstLine="0"/>
      </w:pPr>
      <w:rPr>
        <w:rFonts w:hint="eastAsia" w:ascii="黑体" w:hAnsi="Times New Roman" w:eastAsia="黑体"/>
        <w:b w:val="0"/>
        <w:i w:val="0"/>
        <w:sz w:val="21"/>
      </w:rPr>
    </w:lvl>
    <w:lvl w:ilvl="5" w:tentative="0">
      <w:start w:val="1"/>
      <w:numFmt w:val="decimal"/>
      <w:pStyle w:val="92"/>
      <w:suff w:val="nothing"/>
      <w:lvlText w:val="%1.%2.%3.%4.%5.%6　"/>
      <w:lvlJc w:val="left"/>
      <w:pPr>
        <w:ind w:left="0" w:firstLine="0"/>
      </w:pPr>
      <w:rPr>
        <w:rFonts w:hint="eastAsia" w:ascii="黑体" w:hAnsi="Times New Roman" w:eastAsia="黑体"/>
        <w:b w:val="0"/>
        <w:i w:val="0"/>
        <w:sz w:val="21"/>
      </w:rPr>
    </w:lvl>
    <w:lvl w:ilvl="6" w:tentative="0">
      <w:start w:val="1"/>
      <w:numFmt w:val="decimal"/>
      <w:pStyle w:val="9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AB870ED"/>
    <w:multiLevelType w:val="multilevel"/>
    <w:tmpl w:val="6AB870ED"/>
    <w:lvl w:ilvl="0" w:tentative="0">
      <w:start w:val="1"/>
      <w:numFmt w:val="decimal"/>
      <w:pStyle w:val="58"/>
      <w:suff w:val="nothing"/>
      <w:lvlText w:val="示例%1："/>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16">
    <w:nsid w:val="6D6C07CD"/>
    <w:multiLevelType w:val="multilevel"/>
    <w:tmpl w:val="6D6C07CD"/>
    <w:lvl w:ilvl="0" w:tentative="0">
      <w:start w:val="1"/>
      <w:numFmt w:val="lowerLetter"/>
      <w:pStyle w:val="101"/>
      <w:lvlText w:val="%1)"/>
      <w:lvlJc w:val="left"/>
      <w:pPr>
        <w:tabs>
          <w:tab w:val="left" w:pos="839"/>
        </w:tabs>
        <w:ind w:left="839" w:hanging="419"/>
      </w:pPr>
      <w:rPr>
        <w:rFonts w:hint="eastAsia" w:ascii="宋体" w:eastAsia="宋体"/>
        <w:b w:val="0"/>
        <w:i w:val="0"/>
        <w:sz w:val="21"/>
      </w:rPr>
    </w:lvl>
    <w:lvl w:ilvl="1" w:tentative="0">
      <w:start w:val="1"/>
      <w:numFmt w:val="decimal"/>
      <w:pStyle w:val="91"/>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num w:numId="1">
    <w:abstractNumId w:val="7"/>
  </w:num>
  <w:num w:numId="2">
    <w:abstractNumId w:val="2"/>
  </w:num>
  <w:num w:numId="3">
    <w:abstractNumId w:val="6"/>
  </w:num>
  <w:num w:numId="4">
    <w:abstractNumId w:val="12"/>
  </w:num>
  <w:num w:numId="5">
    <w:abstractNumId w:val="8"/>
  </w:num>
  <w:num w:numId="6">
    <w:abstractNumId w:val="1"/>
  </w:num>
  <w:num w:numId="7">
    <w:abstractNumId w:val="10"/>
  </w:num>
  <w:num w:numId="8">
    <w:abstractNumId w:val="15"/>
  </w:num>
  <w:num w:numId="9">
    <w:abstractNumId w:val="4"/>
  </w:num>
  <w:num w:numId="10">
    <w:abstractNumId w:val="0"/>
  </w:num>
  <w:num w:numId="11">
    <w:abstractNumId w:val="14"/>
  </w:num>
  <w:num w:numId="12">
    <w:abstractNumId w:val="11"/>
  </w:num>
  <w:num w:numId="13">
    <w:abstractNumId w:val="16"/>
  </w:num>
  <w:num w:numId="14">
    <w:abstractNumId w:val="5"/>
  </w:num>
  <w:num w:numId="15">
    <w:abstractNumId w:val="3"/>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mirrorMargins w:val="1"/>
  <w:bordersDoNotSurroundHeader w:val="1"/>
  <w:bordersDoNotSurroundFooter w:val="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25"/>
    <w:rsid w:val="00000244"/>
    <w:rsid w:val="00000BB3"/>
    <w:rsid w:val="0000185F"/>
    <w:rsid w:val="00004B91"/>
    <w:rsid w:val="00004E32"/>
    <w:rsid w:val="0000586F"/>
    <w:rsid w:val="00013D86"/>
    <w:rsid w:val="00013E02"/>
    <w:rsid w:val="0002143C"/>
    <w:rsid w:val="00025A65"/>
    <w:rsid w:val="00026C31"/>
    <w:rsid w:val="00027280"/>
    <w:rsid w:val="000320A7"/>
    <w:rsid w:val="000325EA"/>
    <w:rsid w:val="00035925"/>
    <w:rsid w:val="00036C2C"/>
    <w:rsid w:val="00045A7C"/>
    <w:rsid w:val="00055371"/>
    <w:rsid w:val="00056A24"/>
    <w:rsid w:val="00057CE5"/>
    <w:rsid w:val="000607A3"/>
    <w:rsid w:val="000657F7"/>
    <w:rsid w:val="00067CDF"/>
    <w:rsid w:val="00074FBE"/>
    <w:rsid w:val="0007762A"/>
    <w:rsid w:val="00081F6E"/>
    <w:rsid w:val="00083A09"/>
    <w:rsid w:val="0009005E"/>
    <w:rsid w:val="000918A9"/>
    <w:rsid w:val="00092001"/>
    <w:rsid w:val="00092618"/>
    <w:rsid w:val="00092857"/>
    <w:rsid w:val="00092BD8"/>
    <w:rsid w:val="000964C7"/>
    <w:rsid w:val="000979D9"/>
    <w:rsid w:val="000A20A9"/>
    <w:rsid w:val="000A48B1"/>
    <w:rsid w:val="000B2F0E"/>
    <w:rsid w:val="000B3143"/>
    <w:rsid w:val="000B405D"/>
    <w:rsid w:val="000C2BE6"/>
    <w:rsid w:val="000C6B05"/>
    <w:rsid w:val="000C6DD6"/>
    <w:rsid w:val="000C73D4"/>
    <w:rsid w:val="000D3D4C"/>
    <w:rsid w:val="000D4F51"/>
    <w:rsid w:val="000D718B"/>
    <w:rsid w:val="000E0C46"/>
    <w:rsid w:val="000E15EE"/>
    <w:rsid w:val="000F030C"/>
    <w:rsid w:val="000F129C"/>
    <w:rsid w:val="000F174F"/>
    <w:rsid w:val="00104E29"/>
    <w:rsid w:val="0010521B"/>
    <w:rsid w:val="001056DE"/>
    <w:rsid w:val="001124C0"/>
    <w:rsid w:val="00117A25"/>
    <w:rsid w:val="00121293"/>
    <w:rsid w:val="0013175F"/>
    <w:rsid w:val="0013364D"/>
    <w:rsid w:val="001343BB"/>
    <w:rsid w:val="001512B4"/>
    <w:rsid w:val="00153A26"/>
    <w:rsid w:val="001620A5"/>
    <w:rsid w:val="00164E53"/>
    <w:rsid w:val="00165D35"/>
    <w:rsid w:val="0016699D"/>
    <w:rsid w:val="001670D9"/>
    <w:rsid w:val="00175159"/>
    <w:rsid w:val="00175AD7"/>
    <w:rsid w:val="00176208"/>
    <w:rsid w:val="0017780C"/>
    <w:rsid w:val="001813B2"/>
    <w:rsid w:val="0018211B"/>
    <w:rsid w:val="00183FE1"/>
    <w:rsid w:val="001840D3"/>
    <w:rsid w:val="00184782"/>
    <w:rsid w:val="00187A8A"/>
    <w:rsid w:val="001900F8"/>
    <w:rsid w:val="00191258"/>
    <w:rsid w:val="00192680"/>
    <w:rsid w:val="00193037"/>
    <w:rsid w:val="00193375"/>
    <w:rsid w:val="00193A2C"/>
    <w:rsid w:val="001A288E"/>
    <w:rsid w:val="001B36ED"/>
    <w:rsid w:val="001B6DC2"/>
    <w:rsid w:val="001B754B"/>
    <w:rsid w:val="001C149C"/>
    <w:rsid w:val="001C21AC"/>
    <w:rsid w:val="001C3689"/>
    <w:rsid w:val="001C47BA"/>
    <w:rsid w:val="001C59EA"/>
    <w:rsid w:val="001D3556"/>
    <w:rsid w:val="001D406C"/>
    <w:rsid w:val="001D41EE"/>
    <w:rsid w:val="001D4BEB"/>
    <w:rsid w:val="001D71E6"/>
    <w:rsid w:val="001E0380"/>
    <w:rsid w:val="001E0B1B"/>
    <w:rsid w:val="001E13B1"/>
    <w:rsid w:val="001E2153"/>
    <w:rsid w:val="001F3A19"/>
    <w:rsid w:val="002009E4"/>
    <w:rsid w:val="00201053"/>
    <w:rsid w:val="0020251B"/>
    <w:rsid w:val="002073D3"/>
    <w:rsid w:val="00215D48"/>
    <w:rsid w:val="0021624B"/>
    <w:rsid w:val="0022185E"/>
    <w:rsid w:val="00227FED"/>
    <w:rsid w:val="0023030A"/>
    <w:rsid w:val="00230F08"/>
    <w:rsid w:val="00234467"/>
    <w:rsid w:val="00235BE6"/>
    <w:rsid w:val="00237D8D"/>
    <w:rsid w:val="00241DA2"/>
    <w:rsid w:val="00247FEE"/>
    <w:rsid w:val="00250E7D"/>
    <w:rsid w:val="002523DB"/>
    <w:rsid w:val="002527DD"/>
    <w:rsid w:val="00252DAA"/>
    <w:rsid w:val="002565D5"/>
    <w:rsid w:val="002622C0"/>
    <w:rsid w:val="002778AE"/>
    <w:rsid w:val="0028269A"/>
    <w:rsid w:val="00283590"/>
    <w:rsid w:val="00286973"/>
    <w:rsid w:val="00287674"/>
    <w:rsid w:val="002938A4"/>
    <w:rsid w:val="00294E70"/>
    <w:rsid w:val="002954B8"/>
    <w:rsid w:val="002967B2"/>
    <w:rsid w:val="002A1924"/>
    <w:rsid w:val="002A7420"/>
    <w:rsid w:val="002A7A7E"/>
    <w:rsid w:val="002B0F12"/>
    <w:rsid w:val="002B1308"/>
    <w:rsid w:val="002B4554"/>
    <w:rsid w:val="002B707C"/>
    <w:rsid w:val="002C72D8"/>
    <w:rsid w:val="002D11FA"/>
    <w:rsid w:val="002D17BC"/>
    <w:rsid w:val="002D19A4"/>
    <w:rsid w:val="002D6352"/>
    <w:rsid w:val="002E0DDF"/>
    <w:rsid w:val="002E2906"/>
    <w:rsid w:val="002E5635"/>
    <w:rsid w:val="002E64C3"/>
    <w:rsid w:val="002E6A2C"/>
    <w:rsid w:val="002F035E"/>
    <w:rsid w:val="002F0FE8"/>
    <w:rsid w:val="002F1D8C"/>
    <w:rsid w:val="002F21DA"/>
    <w:rsid w:val="002F34B8"/>
    <w:rsid w:val="00301F39"/>
    <w:rsid w:val="00303D27"/>
    <w:rsid w:val="00305BEE"/>
    <w:rsid w:val="00313962"/>
    <w:rsid w:val="003234E0"/>
    <w:rsid w:val="00325926"/>
    <w:rsid w:val="00327A8A"/>
    <w:rsid w:val="003339A3"/>
    <w:rsid w:val="00336610"/>
    <w:rsid w:val="00341F5C"/>
    <w:rsid w:val="00343D23"/>
    <w:rsid w:val="00343F73"/>
    <w:rsid w:val="00345060"/>
    <w:rsid w:val="003451FB"/>
    <w:rsid w:val="00352629"/>
    <w:rsid w:val="0035323B"/>
    <w:rsid w:val="00353D19"/>
    <w:rsid w:val="0035785A"/>
    <w:rsid w:val="003609D2"/>
    <w:rsid w:val="00363F22"/>
    <w:rsid w:val="00364940"/>
    <w:rsid w:val="00375564"/>
    <w:rsid w:val="00376489"/>
    <w:rsid w:val="00383191"/>
    <w:rsid w:val="00386DED"/>
    <w:rsid w:val="003912E7"/>
    <w:rsid w:val="00393947"/>
    <w:rsid w:val="00395141"/>
    <w:rsid w:val="003A0E27"/>
    <w:rsid w:val="003A2275"/>
    <w:rsid w:val="003A6A4F"/>
    <w:rsid w:val="003A7088"/>
    <w:rsid w:val="003B00DF"/>
    <w:rsid w:val="003B1275"/>
    <w:rsid w:val="003B1778"/>
    <w:rsid w:val="003C11CB"/>
    <w:rsid w:val="003C3017"/>
    <w:rsid w:val="003C6A77"/>
    <w:rsid w:val="003C75F3"/>
    <w:rsid w:val="003C78A3"/>
    <w:rsid w:val="003D36AB"/>
    <w:rsid w:val="003E1867"/>
    <w:rsid w:val="003E5729"/>
    <w:rsid w:val="003E724E"/>
    <w:rsid w:val="003F1D40"/>
    <w:rsid w:val="003F22BB"/>
    <w:rsid w:val="003F2A5B"/>
    <w:rsid w:val="003F4EE0"/>
    <w:rsid w:val="003F5559"/>
    <w:rsid w:val="00400473"/>
    <w:rsid w:val="00402153"/>
    <w:rsid w:val="00402E26"/>
    <w:rsid w:val="00402FC1"/>
    <w:rsid w:val="004200D9"/>
    <w:rsid w:val="00425082"/>
    <w:rsid w:val="00431DEB"/>
    <w:rsid w:val="0044259D"/>
    <w:rsid w:val="004439D9"/>
    <w:rsid w:val="00446B29"/>
    <w:rsid w:val="004524BE"/>
    <w:rsid w:val="00453F9A"/>
    <w:rsid w:val="00454CC3"/>
    <w:rsid w:val="00464903"/>
    <w:rsid w:val="00471E91"/>
    <w:rsid w:val="00474079"/>
    <w:rsid w:val="00474675"/>
    <w:rsid w:val="0047470C"/>
    <w:rsid w:val="00484C88"/>
    <w:rsid w:val="004A203E"/>
    <w:rsid w:val="004A35F9"/>
    <w:rsid w:val="004A4662"/>
    <w:rsid w:val="004A7E02"/>
    <w:rsid w:val="004B157A"/>
    <w:rsid w:val="004B24C1"/>
    <w:rsid w:val="004B3092"/>
    <w:rsid w:val="004B49B1"/>
    <w:rsid w:val="004B557C"/>
    <w:rsid w:val="004C292F"/>
    <w:rsid w:val="004C657F"/>
    <w:rsid w:val="004D306F"/>
    <w:rsid w:val="004D4B02"/>
    <w:rsid w:val="004D4F76"/>
    <w:rsid w:val="004E4B13"/>
    <w:rsid w:val="004E4B8C"/>
    <w:rsid w:val="004E5A47"/>
    <w:rsid w:val="005036E2"/>
    <w:rsid w:val="00510280"/>
    <w:rsid w:val="00513D73"/>
    <w:rsid w:val="005148B3"/>
    <w:rsid w:val="00514A43"/>
    <w:rsid w:val="00515E9C"/>
    <w:rsid w:val="005174E5"/>
    <w:rsid w:val="00520898"/>
    <w:rsid w:val="00522393"/>
    <w:rsid w:val="00522620"/>
    <w:rsid w:val="00525656"/>
    <w:rsid w:val="00525BF3"/>
    <w:rsid w:val="00534C02"/>
    <w:rsid w:val="0054044C"/>
    <w:rsid w:val="0054264B"/>
    <w:rsid w:val="00543786"/>
    <w:rsid w:val="00545A49"/>
    <w:rsid w:val="005463CC"/>
    <w:rsid w:val="00546D0D"/>
    <w:rsid w:val="0055153A"/>
    <w:rsid w:val="005533D7"/>
    <w:rsid w:val="00554B63"/>
    <w:rsid w:val="00562CF6"/>
    <w:rsid w:val="0056544B"/>
    <w:rsid w:val="00567177"/>
    <w:rsid w:val="005703DE"/>
    <w:rsid w:val="005710BC"/>
    <w:rsid w:val="005755F1"/>
    <w:rsid w:val="00582BBE"/>
    <w:rsid w:val="0058464E"/>
    <w:rsid w:val="0058650E"/>
    <w:rsid w:val="005A01CB"/>
    <w:rsid w:val="005A19A9"/>
    <w:rsid w:val="005A58FF"/>
    <w:rsid w:val="005A5EAF"/>
    <w:rsid w:val="005A6491"/>
    <w:rsid w:val="005A64C0"/>
    <w:rsid w:val="005B1985"/>
    <w:rsid w:val="005B3C11"/>
    <w:rsid w:val="005C1C28"/>
    <w:rsid w:val="005C43D0"/>
    <w:rsid w:val="005C6DB5"/>
    <w:rsid w:val="005D3842"/>
    <w:rsid w:val="005E19E7"/>
    <w:rsid w:val="005E2392"/>
    <w:rsid w:val="00601622"/>
    <w:rsid w:val="0060789B"/>
    <w:rsid w:val="0061037E"/>
    <w:rsid w:val="00613FAA"/>
    <w:rsid w:val="00616C36"/>
    <w:rsid w:val="0061716C"/>
    <w:rsid w:val="006171AF"/>
    <w:rsid w:val="00617868"/>
    <w:rsid w:val="006243A1"/>
    <w:rsid w:val="00626005"/>
    <w:rsid w:val="00632E56"/>
    <w:rsid w:val="00635CBA"/>
    <w:rsid w:val="00636EFC"/>
    <w:rsid w:val="0064338B"/>
    <w:rsid w:val="00646542"/>
    <w:rsid w:val="006504F4"/>
    <w:rsid w:val="0065366F"/>
    <w:rsid w:val="00654BC9"/>
    <w:rsid w:val="006552FD"/>
    <w:rsid w:val="00656F0B"/>
    <w:rsid w:val="00663733"/>
    <w:rsid w:val="00663AF3"/>
    <w:rsid w:val="00666B6C"/>
    <w:rsid w:val="00677B54"/>
    <w:rsid w:val="00682682"/>
    <w:rsid w:val="00682702"/>
    <w:rsid w:val="00692368"/>
    <w:rsid w:val="00695192"/>
    <w:rsid w:val="006A2EBC"/>
    <w:rsid w:val="006A5EA0"/>
    <w:rsid w:val="006A783B"/>
    <w:rsid w:val="006A7B33"/>
    <w:rsid w:val="006B497F"/>
    <w:rsid w:val="006B4E13"/>
    <w:rsid w:val="006B75DD"/>
    <w:rsid w:val="006C047C"/>
    <w:rsid w:val="006C3D8B"/>
    <w:rsid w:val="006C67E0"/>
    <w:rsid w:val="006C7ABA"/>
    <w:rsid w:val="006D0A13"/>
    <w:rsid w:val="006D0D60"/>
    <w:rsid w:val="006D1122"/>
    <w:rsid w:val="006D317E"/>
    <w:rsid w:val="006D3B1E"/>
    <w:rsid w:val="006D3C00"/>
    <w:rsid w:val="006E06AD"/>
    <w:rsid w:val="006E3675"/>
    <w:rsid w:val="006E4A7F"/>
    <w:rsid w:val="006F0967"/>
    <w:rsid w:val="006F2274"/>
    <w:rsid w:val="006F64A0"/>
    <w:rsid w:val="0070038F"/>
    <w:rsid w:val="007027B1"/>
    <w:rsid w:val="0070286C"/>
    <w:rsid w:val="00704DF6"/>
    <w:rsid w:val="0070641D"/>
    <w:rsid w:val="0070651C"/>
    <w:rsid w:val="007132A3"/>
    <w:rsid w:val="00716421"/>
    <w:rsid w:val="00721419"/>
    <w:rsid w:val="00724EFB"/>
    <w:rsid w:val="00726575"/>
    <w:rsid w:val="00730310"/>
    <w:rsid w:val="00740A49"/>
    <w:rsid w:val="007419C3"/>
    <w:rsid w:val="00746559"/>
    <w:rsid w:val="007467A7"/>
    <w:rsid w:val="007469DD"/>
    <w:rsid w:val="0074741B"/>
    <w:rsid w:val="0074759E"/>
    <w:rsid w:val="007478EA"/>
    <w:rsid w:val="0075415C"/>
    <w:rsid w:val="00757097"/>
    <w:rsid w:val="007606CB"/>
    <w:rsid w:val="00761E8B"/>
    <w:rsid w:val="00763502"/>
    <w:rsid w:val="00780DE2"/>
    <w:rsid w:val="007913AB"/>
    <w:rsid w:val="007914F7"/>
    <w:rsid w:val="00795C73"/>
    <w:rsid w:val="007A4809"/>
    <w:rsid w:val="007B1625"/>
    <w:rsid w:val="007B706E"/>
    <w:rsid w:val="007B71EB"/>
    <w:rsid w:val="007C0748"/>
    <w:rsid w:val="007C6205"/>
    <w:rsid w:val="007C686A"/>
    <w:rsid w:val="007C728E"/>
    <w:rsid w:val="007D0BE0"/>
    <w:rsid w:val="007D204F"/>
    <w:rsid w:val="007D2C53"/>
    <w:rsid w:val="007D3D60"/>
    <w:rsid w:val="007E1980"/>
    <w:rsid w:val="007E4B76"/>
    <w:rsid w:val="007E5043"/>
    <w:rsid w:val="007E5EA8"/>
    <w:rsid w:val="007F0CF1"/>
    <w:rsid w:val="007F12A5"/>
    <w:rsid w:val="007F2D74"/>
    <w:rsid w:val="007F3FB7"/>
    <w:rsid w:val="007F4CF1"/>
    <w:rsid w:val="007F758D"/>
    <w:rsid w:val="007F7D52"/>
    <w:rsid w:val="0080484A"/>
    <w:rsid w:val="00805589"/>
    <w:rsid w:val="008057A5"/>
    <w:rsid w:val="00805E2F"/>
    <w:rsid w:val="0080654C"/>
    <w:rsid w:val="008071C6"/>
    <w:rsid w:val="00817A00"/>
    <w:rsid w:val="00820B95"/>
    <w:rsid w:val="00825891"/>
    <w:rsid w:val="00831631"/>
    <w:rsid w:val="0083228D"/>
    <w:rsid w:val="00833D07"/>
    <w:rsid w:val="00835DB3"/>
    <w:rsid w:val="0083617B"/>
    <w:rsid w:val="00836342"/>
    <w:rsid w:val="00836A2D"/>
    <w:rsid w:val="008371BD"/>
    <w:rsid w:val="00840EBF"/>
    <w:rsid w:val="008504A8"/>
    <w:rsid w:val="00851B58"/>
    <w:rsid w:val="0085282E"/>
    <w:rsid w:val="0087198C"/>
    <w:rsid w:val="00872C1F"/>
    <w:rsid w:val="00873B42"/>
    <w:rsid w:val="00877CB0"/>
    <w:rsid w:val="008805AC"/>
    <w:rsid w:val="00880D1A"/>
    <w:rsid w:val="00884468"/>
    <w:rsid w:val="008856D8"/>
    <w:rsid w:val="00892E82"/>
    <w:rsid w:val="00893277"/>
    <w:rsid w:val="00895FA9"/>
    <w:rsid w:val="008A1035"/>
    <w:rsid w:val="008A6E08"/>
    <w:rsid w:val="008C0BE9"/>
    <w:rsid w:val="008C1B58"/>
    <w:rsid w:val="008C39AE"/>
    <w:rsid w:val="008C40DF"/>
    <w:rsid w:val="008C590D"/>
    <w:rsid w:val="008D447E"/>
    <w:rsid w:val="008D7566"/>
    <w:rsid w:val="008E031B"/>
    <w:rsid w:val="008E0560"/>
    <w:rsid w:val="008E2D8C"/>
    <w:rsid w:val="008E7029"/>
    <w:rsid w:val="008E7EF6"/>
    <w:rsid w:val="008F1F98"/>
    <w:rsid w:val="008F2340"/>
    <w:rsid w:val="008F2790"/>
    <w:rsid w:val="008F6758"/>
    <w:rsid w:val="009040DD"/>
    <w:rsid w:val="00905B47"/>
    <w:rsid w:val="0090690F"/>
    <w:rsid w:val="00911391"/>
    <w:rsid w:val="0091331C"/>
    <w:rsid w:val="009137BD"/>
    <w:rsid w:val="0091503D"/>
    <w:rsid w:val="009279DE"/>
    <w:rsid w:val="00927AB9"/>
    <w:rsid w:val="00927B37"/>
    <w:rsid w:val="00930116"/>
    <w:rsid w:val="00930625"/>
    <w:rsid w:val="00941082"/>
    <w:rsid w:val="0094212C"/>
    <w:rsid w:val="00944853"/>
    <w:rsid w:val="0094609D"/>
    <w:rsid w:val="0095378C"/>
    <w:rsid w:val="00954689"/>
    <w:rsid w:val="0095472A"/>
    <w:rsid w:val="0096085A"/>
    <w:rsid w:val="009617C9"/>
    <w:rsid w:val="00961C93"/>
    <w:rsid w:val="00962B4E"/>
    <w:rsid w:val="0096416F"/>
    <w:rsid w:val="00965324"/>
    <w:rsid w:val="0097091E"/>
    <w:rsid w:val="009760D3"/>
    <w:rsid w:val="00977132"/>
    <w:rsid w:val="00981A4B"/>
    <w:rsid w:val="00982250"/>
    <w:rsid w:val="00982501"/>
    <w:rsid w:val="00983D33"/>
    <w:rsid w:val="00984358"/>
    <w:rsid w:val="009877D3"/>
    <w:rsid w:val="00994E8F"/>
    <w:rsid w:val="009951DC"/>
    <w:rsid w:val="009959BB"/>
    <w:rsid w:val="00997158"/>
    <w:rsid w:val="009A0827"/>
    <w:rsid w:val="009A3A7C"/>
    <w:rsid w:val="009A5D33"/>
    <w:rsid w:val="009A7D84"/>
    <w:rsid w:val="009B2323"/>
    <w:rsid w:val="009B2ADB"/>
    <w:rsid w:val="009B603A"/>
    <w:rsid w:val="009C2D0E"/>
    <w:rsid w:val="009C3DAC"/>
    <w:rsid w:val="009C42E0"/>
    <w:rsid w:val="009D3230"/>
    <w:rsid w:val="009D5362"/>
    <w:rsid w:val="009E1415"/>
    <w:rsid w:val="009E6116"/>
    <w:rsid w:val="009E7E25"/>
    <w:rsid w:val="00A02E43"/>
    <w:rsid w:val="00A05368"/>
    <w:rsid w:val="00A065F9"/>
    <w:rsid w:val="00A07011"/>
    <w:rsid w:val="00A07F34"/>
    <w:rsid w:val="00A22154"/>
    <w:rsid w:val="00A24058"/>
    <w:rsid w:val="00A25C38"/>
    <w:rsid w:val="00A35824"/>
    <w:rsid w:val="00A36BBE"/>
    <w:rsid w:val="00A37C20"/>
    <w:rsid w:val="00A40D9E"/>
    <w:rsid w:val="00A41DF7"/>
    <w:rsid w:val="00A420B1"/>
    <w:rsid w:val="00A42ECA"/>
    <w:rsid w:val="00A4307A"/>
    <w:rsid w:val="00A46DEF"/>
    <w:rsid w:val="00A47EBB"/>
    <w:rsid w:val="00A51CDD"/>
    <w:rsid w:val="00A563F8"/>
    <w:rsid w:val="00A56BBA"/>
    <w:rsid w:val="00A6730D"/>
    <w:rsid w:val="00A71625"/>
    <w:rsid w:val="00A71B9B"/>
    <w:rsid w:val="00A751C7"/>
    <w:rsid w:val="00A80008"/>
    <w:rsid w:val="00A84CE5"/>
    <w:rsid w:val="00A87844"/>
    <w:rsid w:val="00A9227B"/>
    <w:rsid w:val="00A97A55"/>
    <w:rsid w:val="00AA038C"/>
    <w:rsid w:val="00AA7A09"/>
    <w:rsid w:val="00AB3B50"/>
    <w:rsid w:val="00AC05B1"/>
    <w:rsid w:val="00AC450C"/>
    <w:rsid w:val="00AD340B"/>
    <w:rsid w:val="00AD356C"/>
    <w:rsid w:val="00AE2914"/>
    <w:rsid w:val="00AE6D15"/>
    <w:rsid w:val="00AE7023"/>
    <w:rsid w:val="00AE78AA"/>
    <w:rsid w:val="00AF0EF3"/>
    <w:rsid w:val="00AF1F49"/>
    <w:rsid w:val="00AF2D81"/>
    <w:rsid w:val="00B04182"/>
    <w:rsid w:val="00B05ECF"/>
    <w:rsid w:val="00B07AE3"/>
    <w:rsid w:val="00B11430"/>
    <w:rsid w:val="00B12A5D"/>
    <w:rsid w:val="00B242F4"/>
    <w:rsid w:val="00B2477A"/>
    <w:rsid w:val="00B24D1C"/>
    <w:rsid w:val="00B30072"/>
    <w:rsid w:val="00B30481"/>
    <w:rsid w:val="00B3312F"/>
    <w:rsid w:val="00B353EB"/>
    <w:rsid w:val="00B4016F"/>
    <w:rsid w:val="00B407AC"/>
    <w:rsid w:val="00B439C4"/>
    <w:rsid w:val="00B4535E"/>
    <w:rsid w:val="00B52A8C"/>
    <w:rsid w:val="00B54707"/>
    <w:rsid w:val="00B56155"/>
    <w:rsid w:val="00B62F11"/>
    <w:rsid w:val="00B63042"/>
    <w:rsid w:val="00B636A8"/>
    <w:rsid w:val="00B665C6"/>
    <w:rsid w:val="00B72AD8"/>
    <w:rsid w:val="00B74441"/>
    <w:rsid w:val="00B758A5"/>
    <w:rsid w:val="00B805AF"/>
    <w:rsid w:val="00B82BD5"/>
    <w:rsid w:val="00B869EC"/>
    <w:rsid w:val="00B92383"/>
    <w:rsid w:val="00B9397A"/>
    <w:rsid w:val="00B9633D"/>
    <w:rsid w:val="00B967D5"/>
    <w:rsid w:val="00BA2EBE"/>
    <w:rsid w:val="00BB0F28"/>
    <w:rsid w:val="00BB458A"/>
    <w:rsid w:val="00BB693F"/>
    <w:rsid w:val="00BB6C11"/>
    <w:rsid w:val="00BC5953"/>
    <w:rsid w:val="00BD00D3"/>
    <w:rsid w:val="00BD1659"/>
    <w:rsid w:val="00BD3AA9"/>
    <w:rsid w:val="00BD4A18"/>
    <w:rsid w:val="00BD6DB2"/>
    <w:rsid w:val="00BD73A1"/>
    <w:rsid w:val="00BE11CF"/>
    <w:rsid w:val="00BE21AB"/>
    <w:rsid w:val="00BE55CB"/>
    <w:rsid w:val="00BE7067"/>
    <w:rsid w:val="00BF3BB2"/>
    <w:rsid w:val="00BF617A"/>
    <w:rsid w:val="00C0379D"/>
    <w:rsid w:val="00C03931"/>
    <w:rsid w:val="00C05FE3"/>
    <w:rsid w:val="00C11DA9"/>
    <w:rsid w:val="00C2136D"/>
    <w:rsid w:val="00C214EE"/>
    <w:rsid w:val="00C2314B"/>
    <w:rsid w:val="00C244A0"/>
    <w:rsid w:val="00C24971"/>
    <w:rsid w:val="00C25355"/>
    <w:rsid w:val="00C26BE5"/>
    <w:rsid w:val="00C26E4D"/>
    <w:rsid w:val="00C27909"/>
    <w:rsid w:val="00C27B03"/>
    <w:rsid w:val="00C314E1"/>
    <w:rsid w:val="00C34397"/>
    <w:rsid w:val="00C40503"/>
    <w:rsid w:val="00C4095D"/>
    <w:rsid w:val="00C57A9C"/>
    <w:rsid w:val="00C601D2"/>
    <w:rsid w:val="00C65BCC"/>
    <w:rsid w:val="00C66970"/>
    <w:rsid w:val="00C71F4D"/>
    <w:rsid w:val="00C8691C"/>
    <w:rsid w:val="00C86CB4"/>
    <w:rsid w:val="00C96295"/>
    <w:rsid w:val="00C96364"/>
    <w:rsid w:val="00CA03DF"/>
    <w:rsid w:val="00CA168A"/>
    <w:rsid w:val="00CA2097"/>
    <w:rsid w:val="00CA357E"/>
    <w:rsid w:val="00CA44F9"/>
    <w:rsid w:val="00CA4A69"/>
    <w:rsid w:val="00CB722E"/>
    <w:rsid w:val="00CC3E0C"/>
    <w:rsid w:val="00CC58D3"/>
    <w:rsid w:val="00CC784D"/>
    <w:rsid w:val="00CF1E15"/>
    <w:rsid w:val="00D00A8D"/>
    <w:rsid w:val="00D03268"/>
    <w:rsid w:val="00D0337B"/>
    <w:rsid w:val="00D07777"/>
    <w:rsid w:val="00D079B2"/>
    <w:rsid w:val="00D114E9"/>
    <w:rsid w:val="00D17CD8"/>
    <w:rsid w:val="00D2527C"/>
    <w:rsid w:val="00D313B3"/>
    <w:rsid w:val="00D35B8E"/>
    <w:rsid w:val="00D40F07"/>
    <w:rsid w:val="00D429C6"/>
    <w:rsid w:val="00D47748"/>
    <w:rsid w:val="00D5178F"/>
    <w:rsid w:val="00D518DF"/>
    <w:rsid w:val="00D54CC3"/>
    <w:rsid w:val="00D6041A"/>
    <w:rsid w:val="00D61258"/>
    <w:rsid w:val="00D633EB"/>
    <w:rsid w:val="00D736AC"/>
    <w:rsid w:val="00D747AA"/>
    <w:rsid w:val="00D75A7E"/>
    <w:rsid w:val="00D82FF7"/>
    <w:rsid w:val="00D84271"/>
    <w:rsid w:val="00D847FE"/>
    <w:rsid w:val="00D86B9C"/>
    <w:rsid w:val="00D900CD"/>
    <w:rsid w:val="00D90A39"/>
    <w:rsid w:val="00D964EA"/>
    <w:rsid w:val="00D966D0"/>
    <w:rsid w:val="00DA0C59"/>
    <w:rsid w:val="00DA3991"/>
    <w:rsid w:val="00DA72A1"/>
    <w:rsid w:val="00DA7F95"/>
    <w:rsid w:val="00DB01F1"/>
    <w:rsid w:val="00DB3222"/>
    <w:rsid w:val="00DB7E6C"/>
    <w:rsid w:val="00DC4F68"/>
    <w:rsid w:val="00DC64B0"/>
    <w:rsid w:val="00DC6B1E"/>
    <w:rsid w:val="00DD252A"/>
    <w:rsid w:val="00DD5949"/>
    <w:rsid w:val="00DD5A29"/>
    <w:rsid w:val="00DD5D9D"/>
    <w:rsid w:val="00DE35CB"/>
    <w:rsid w:val="00DF0EF0"/>
    <w:rsid w:val="00DF21E9"/>
    <w:rsid w:val="00DF22C7"/>
    <w:rsid w:val="00DF5588"/>
    <w:rsid w:val="00DF5CC9"/>
    <w:rsid w:val="00E005D3"/>
    <w:rsid w:val="00E00F14"/>
    <w:rsid w:val="00E01CB8"/>
    <w:rsid w:val="00E06386"/>
    <w:rsid w:val="00E075C5"/>
    <w:rsid w:val="00E1051A"/>
    <w:rsid w:val="00E111F3"/>
    <w:rsid w:val="00E11668"/>
    <w:rsid w:val="00E118E7"/>
    <w:rsid w:val="00E122B7"/>
    <w:rsid w:val="00E21B55"/>
    <w:rsid w:val="00E221D3"/>
    <w:rsid w:val="00E24EB4"/>
    <w:rsid w:val="00E30635"/>
    <w:rsid w:val="00E320ED"/>
    <w:rsid w:val="00E33AFB"/>
    <w:rsid w:val="00E34218"/>
    <w:rsid w:val="00E4555B"/>
    <w:rsid w:val="00E46282"/>
    <w:rsid w:val="00E5216E"/>
    <w:rsid w:val="00E5529C"/>
    <w:rsid w:val="00E657C6"/>
    <w:rsid w:val="00E75D40"/>
    <w:rsid w:val="00E81965"/>
    <w:rsid w:val="00E81A88"/>
    <w:rsid w:val="00E82344"/>
    <w:rsid w:val="00E84C82"/>
    <w:rsid w:val="00E84D64"/>
    <w:rsid w:val="00E87408"/>
    <w:rsid w:val="00E914C4"/>
    <w:rsid w:val="00E934F5"/>
    <w:rsid w:val="00E96961"/>
    <w:rsid w:val="00EA72EC"/>
    <w:rsid w:val="00EB11CB"/>
    <w:rsid w:val="00EB1C71"/>
    <w:rsid w:val="00EB275A"/>
    <w:rsid w:val="00EB57CA"/>
    <w:rsid w:val="00EB786A"/>
    <w:rsid w:val="00EC1578"/>
    <w:rsid w:val="00EC1BFC"/>
    <w:rsid w:val="00EC1C72"/>
    <w:rsid w:val="00EC3356"/>
    <w:rsid w:val="00EC3CC9"/>
    <w:rsid w:val="00EC5D85"/>
    <w:rsid w:val="00EC680A"/>
    <w:rsid w:val="00ED511C"/>
    <w:rsid w:val="00ED7229"/>
    <w:rsid w:val="00EE25CB"/>
    <w:rsid w:val="00EE2BED"/>
    <w:rsid w:val="00EE374B"/>
    <w:rsid w:val="00EE4A87"/>
    <w:rsid w:val="00EF2869"/>
    <w:rsid w:val="00F0039F"/>
    <w:rsid w:val="00F05D60"/>
    <w:rsid w:val="00F07224"/>
    <w:rsid w:val="00F07FD3"/>
    <w:rsid w:val="00F11BB5"/>
    <w:rsid w:val="00F1296C"/>
    <w:rsid w:val="00F1417B"/>
    <w:rsid w:val="00F1712D"/>
    <w:rsid w:val="00F17A17"/>
    <w:rsid w:val="00F208A0"/>
    <w:rsid w:val="00F2115E"/>
    <w:rsid w:val="00F27B3D"/>
    <w:rsid w:val="00F30ABD"/>
    <w:rsid w:val="00F34B99"/>
    <w:rsid w:val="00F40B02"/>
    <w:rsid w:val="00F41E81"/>
    <w:rsid w:val="00F51720"/>
    <w:rsid w:val="00F51CF2"/>
    <w:rsid w:val="00F52DAB"/>
    <w:rsid w:val="00F543F0"/>
    <w:rsid w:val="00F55E3E"/>
    <w:rsid w:val="00F57601"/>
    <w:rsid w:val="00F73F99"/>
    <w:rsid w:val="00F75F80"/>
    <w:rsid w:val="00F81D29"/>
    <w:rsid w:val="00F90BE5"/>
    <w:rsid w:val="00F91C4D"/>
    <w:rsid w:val="00F92FD9"/>
    <w:rsid w:val="00FA37B1"/>
    <w:rsid w:val="00FA3E0B"/>
    <w:rsid w:val="00FA5EF7"/>
    <w:rsid w:val="00FA6684"/>
    <w:rsid w:val="00FA731E"/>
    <w:rsid w:val="00FA7BD0"/>
    <w:rsid w:val="00FB1DCF"/>
    <w:rsid w:val="00FB2B38"/>
    <w:rsid w:val="00FB61CE"/>
    <w:rsid w:val="00FB7A07"/>
    <w:rsid w:val="00FC04CC"/>
    <w:rsid w:val="00FC2066"/>
    <w:rsid w:val="00FC6358"/>
    <w:rsid w:val="00FD1381"/>
    <w:rsid w:val="00FD320D"/>
    <w:rsid w:val="00FE1B98"/>
    <w:rsid w:val="00FE23DE"/>
    <w:rsid w:val="00FF1801"/>
    <w:rsid w:val="00FF21B7"/>
    <w:rsid w:val="00FF6842"/>
    <w:rsid w:val="1FD435F6"/>
    <w:rsid w:val="34B07B9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unhideWhenUsed="0" w:uiPriority="0" w:semiHidden="0" w:name="index 7"/>
    <w:lsdException w:qFormat="1" w:unhideWhenUsed="0" w:uiPriority="0" w:semiHidden="0" w:name="index 8"/>
    <w:lsdException w:qFormat="1" w:unhideWhenUsed="0" w:uiPriority="0" w:semiHidden="0" w:name="index 9"/>
    <w:lsdException w:qFormat="1" w:unhideWhenUsed="0" w:uiPriority="0" w:name="toc 1"/>
    <w:lsdException w:qFormat="1" w:unhideWhenUsed="0" w:uiPriority="0" w:name="toc 2"/>
    <w:lsdException w:qFormat="1" w:unhideWhenUsed="0" w:uiPriority="0" w:name="toc 3"/>
    <w:lsdException w:unhideWhenUsed="0" w:uiPriority="0" w:name="toc 4"/>
    <w:lsdException w:qFormat="1" w:unhideWhenUsed="0" w:uiPriority="0" w:name="toc 5"/>
    <w:lsdException w:unhideWhenUsed="0" w:uiPriority="0" w:name="toc 6"/>
    <w:lsdException w:qFormat="1" w:unhideWhenUsed="0" w:uiPriority="0" w:name="toc 7"/>
    <w:lsdException w:unhideWhenUsed="0" w:uiPriority="0" w:name="toc 8"/>
    <w:lsdException w:unhideWhenUsed="0" w:uiPriority="0" w:name="toc 9"/>
    <w:lsdException w:uiPriority="0" w:name="Normal Indent"/>
    <w:lsdException w:qFormat="1" w:unhideWhenUsed="0" w:uiPriority="0" w:semiHidden="0" w:name="footnote text"/>
    <w:lsdException w:uiPriority="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semiHidden/>
    <w:qFormat/>
    <w:uiPriority w:val="0"/>
    <w:pPr>
      <w:tabs>
        <w:tab w:val="right" w:leader="dot" w:pos="9241"/>
      </w:tabs>
      <w:ind w:firstLine="500" w:firstLineChars="500"/>
      <w:jc w:val="left"/>
    </w:pPr>
    <w:rPr>
      <w:rFonts w:ascii="宋体"/>
      <w:szCs w:val="21"/>
    </w:rPr>
  </w:style>
  <w:style w:type="paragraph" w:styleId="3">
    <w:name w:val="index 8"/>
    <w:basedOn w:val="1"/>
    <w:next w:val="1"/>
    <w:qFormat/>
    <w:uiPriority w:val="0"/>
    <w:pPr>
      <w:ind w:left="1680" w:hanging="210"/>
      <w:jc w:val="left"/>
    </w:pPr>
    <w:rPr>
      <w:rFonts w:ascii="Calibri" w:hAnsi="Calibri"/>
      <w:sz w:val="20"/>
      <w:szCs w:val="20"/>
    </w:rPr>
  </w:style>
  <w:style w:type="paragraph" w:styleId="4">
    <w:name w:val="caption"/>
    <w:basedOn w:val="1"/>
    <w:next w:val="1"/>
    <w:qFormat/>
    <w:uiPriority w:val="0"/>
    <w:pPr>
      <w:spacing w:before="152" w:after="160"/>
    </w:pPr>
    <w:rPr>
      <w:rFonts w:ascii="Arial" w:hAnsi="Arial" w:eastAsia="黑体" w:cs="Arial"/>
      <w:sz w:val="20"/>
      <w:szCs w:val="20"/>
    </w:rPr>
  </w:style>
  <w:style w:type="paragraph" w:styleId="5">
    <w:name w:val="index 5"/>
    <w:basedOn w:val="1"/>
    <w:next w:val="1"/>
    <w:qFormat/>
    <w:uiPriority w:val="0"/>
    <w:pPr>
      <w:ind w:left="1050" w:hanging="210"/>
      <w:jc w:val="left"/>
    </w:pPr>
    <w:rPr>
      <w:rFonts w:ascii="Calibri" w:hAnsi="Calibri"/>
      <w:sz w:val="20"/>
      <w:szCs w:val="20"/>
    </w:rPr>
  </w:style>
  <w:style w:type="paragraph" w:styleId="6">
    <w:name w:val="Document Map"/>
    <w:basedOn w:val="1"/>
    <w:semiHidden/>
    <w:qFormat/>
    <w:uiPriority w:val="0"/>
    <w:pPr>
      <w:shd w:val="clear" w:color="auto" w:fill="000080"/>
    </w:pPr>
  </w:style>
  <w:style w:type="paragraph" w:styleId="7">
    <w:name w:val="index 6"/>
    <w:basedOn w:val="1"/>
    <w:next w:val="1"/>
    <w:qFormat/>
    <w:uiPriority w:val="0"/>
    <w:pPr>
      <w:ind w:left="1260" w:hanging="210"/>
      <w:jc w:val="left"/>
    </w:pPr>
    <w:rPr>
      <w:rFonts w:ascii="Calibri" w:hAnsi="Calibri"/>
      <w:sz w:val="20"/>
      <w:szCs w:val="20"/>
    </w:rPr>
  </w:style>
  <w:style w:type="paragraph" w:styleId="8">
    <w:name w:val="index 4"/>
    <w:basedOn w:val="1"/>
    <w:next w:val="1"/>
    <w:qFormat/>
    <w:uiPriority w:val="0"/>
    <w:pPr>
      <w:ind w:left="840" w:hanging="210"/>
      <w:jc w:val="left"/>
    </w:pPr>
    <w:rPr>
      <w:rFonts w:ascii="Calibri" w:hAnsi="Calibri"/>
      <w:sz w:val="20"/>
      <w:szCs w:val="20"/>
    </w:rPr>
  </w:style>
  <w:style w:type="paragraph" w:styleId="9">
    <w:name w:val="toc 5"/>
    <w:basedOn w:val="1"/>
    <w:next w:val="1"/>
    <w:semiHidden/>
    <w:qFormat/>
    <w:uiPriority w:val="0"/>
    <w:pPr>
      <w:tabs>
        <w:tab w:val="right" w:leader="dot" w:pos="9241"/>
      </w:tabs>
      <w:ind w:firstLine="300" w:firstLineChars="300"/>
      <w:jc w:val="left"/>
    </w:pPr>
    <w:rPr>
      <w:rFonts w:ascii="宋体"/>
      <w:szCs w:val="21"/>
    </w:rPr>
  </w:style>
  <w:style w:type="paragraph" w:styleId="10">
    <w:name w:val="toc 3"/>
    <w:basedOn w:val="1"/>
    <w:next w:val="1"/>
    <w:semiHidden/>
    <w:qFormat/>
    <w:uiPriority w:val="0"/>
    <w:pPr>
      <w:tabs>
        <w:tab w:val="right" w:leader="dot" w:pos="9241"/>
      </w:tabs>
      <w:ind w:firstLine="100" w:firstLineChars="100"/>
      <w:jc w:val="left"/>
    </w:pPr>
    <w:rPr>
      <w:rFonts w:ascii="宋体"/>
      <w:szCs w:val="21"/>
    </w:rPr>
  </w:style>
  <w:style w:type="paragraph" w:styleId="11">
    <w:name w:val="toc 8"/>
    <w:basedOn w:val="1"/>
    <w:next w:val="1"/>
    <w:semiHidden/>
    <w:uiPriority w:val="0"/>
    <w:pPr>
      <w:tabs>
        <w:tab w:val="right" w:leader="dot" w:pos="9241"/>
      </w:tabs>
      <w:ind w:firstLine="607" w:firstLineChars="600"/>
      <w:jc w:val="left"/>
    </w:pPr>
    <w:rPr>
      <w:rFonts w:ascii="宋体"/>
      <w:szCs w:val="21"/>
    </w:rPr>
  </w:style>
  <w:style w:type="paragraph" w:styleId="12">
    <w:name w:val="index 3"/>
    <w:basedOn w:val="1"/>
    <w:next w:val="1"/>
    <w:qFormat/>
    <w:uiPriority w:val="0"/>
    <w:pPr>
      <w:ind w:left="630" w:hanging="210"/>
      <w:jc w:val="left"/>
    </w:pPr>
    <w:rPr>
      <w:rFonts w:ascii="Calibri" w:hAnsi="Calibri"/>
      <w:sz w:val="20"/>
      <w:szCs w:val="20"/>
    </w:rPr>
  </w:style>
  <w:style w:type="paragraph" w:styleId="13">
    <w:name w:val="endnote text"/>
    <w:basedOn w:val="1"/>
    <w:semiHidden/>
    <w:qFormat/>
    <w:uiPriority w:val="0"/>
    <w:pPr>
      <w:snapToGrid w:val="0"/>
      <w:jc w:val="left"/>
    </w:pPr>
  </w:style>
  <w:style w:type="paragraph" w:styleId="14">
    <w:name w:val="Balloon Text"/>
    <w:basedOn w:val="1"/>
    <w:link w:val="137"/>
    <w:qFormat/>
    <w:uiPriority w:val="0"/>
    <w:rPr>
      <w:sz w:val="18"/>
      <w:szCs w:val="18"/>
    </w:rPr>
  </w:style>
  <w:style w:type="paragraph" w:styleId="15">
    <w:name w:val="footer"/>
    <w:basedOn w:val="1"/>
    <w:qFormat/>
    <w:uiPriority w:val="0"/>
    <w:pPr>
      <w:snapToGrid w:val="0"/>
      <w:ind w:right="210" w:rightChars="100"/>
      <w:jc w:val="right"/>
    </w:pPr>
    <w:rPr>
      <w:sz w:val="18"/>
      <w:szCs w:val="18"/>
    </w:rPr>
  </w:style>
  <w:style w:type="paragraph" w:styleId="16">
    <w:name w:val="header"/>
    <w:basedOn w:val="1"/>
    <w:qFormat/>
    <w:uiPriority w:val="0"/>
    <w:pPr>
      <w:snapToGrid w:val="0"/>
      <w:jc w:val="left"/>
    </w:pPr>
    <w:rPr>
      <w:sz w:val="18"/>
      <w:szCs w:val="18"/>
    </w:rPr>
  </w:style>
  <w:style w:type="paragraph" w:styleId="17">
    <w:name w:val="toc 1"/>
    <w:basedOn w:val="1"/>
    <w:next w:val="1"/>
    <w:semiHidden/>
    <w:qFormat/>
    <w:uiPriority w:val="0"/>
    <w:pPr>
      <w:tabs>
        <w:tab w:val="right" w:leader="dot" w:pos="9242"/>
      </w:tabs>
      <w:spacing w:beforeLines="25" w:afterLines="25"/>
      <w:jc w:val="left"/>
    </w:pPr>
    <w:rPr>
      <w:rFonts w:ascii="宋体"/>
      <w:szCs w:val="21"/>
    </w:rPr>
  </w:style>
  <w:style w:type="paragraph" w:styleId="18">
    <w:name w:val="toc 4"/>
    <w:basedOn w:val="1"/>
    <w:next w:val="1"/>
    <w:semiHidden/>
    <w:uiPriority w:val="0"/>
    <w:pPr>
      <w:tabs>
        <w:tab w:val="right" w:leader="dot" w:pos="9241"/>
      </w:tabs>
      <w:ind w:firstLine="200" w:firstLineChars="200"/>
      <w:jc w:val="left"/>
    </w:pPr>
    <w:rPr>
      <w:rFonts w:ascii="宋体"/>
      <w:szCs w:val="21"/>
    </w:rPr>
  </w:style>
  <w:style w:type="paragraph" w:styleId="19">
    <w:name w:val="index heading"/>
    <w:basedOn w:val="1"/>
    <w:next w:val="20"/>
    <w:qFormat/>
    <w:uiPriority w:val="0"/>
    <w:pPr>
      <w:spacing w:before="120" w:after="120"/>
      <w:jc w:val="center"/>
    </w:pPr>
    <w:rPr>
      <w:rFonts w:ascii="Calibri" w:hAnsi="Calibri"/>
      <w:b/>
      <w:bCs/>
      <w:iCs/>
      <w:szCs w:val="20"/>
    </w:rPr>
  </w:style>
  <w:style w:type="paragraph" w:styleId="20">
    <w:name w:val="index 1"/>
    <w:basedOn w:val="1"/>
    <w:next w:val="21"/>
    <w:qFormat/>
    <w:uiPriority w:val="0"/>
    <w:pPr>
      <w:tabs>
        <w:tab w:val="right" w:leader="dot" w:pos="9299"/>
      </w:tabs>
      <w:jc w:val="left"/>
    </w:pPr>
    <w:rPr>
      <w:rFonts w:ascii="宋体"/>
      <w:szCs w:val="21"/>
    </w:rPr>
  </w:style>
  <w:style w:type="paragraph" w:customStyle="1" w:styleId="21">
    <w:name w:val="段"/>
    <w:link w:val="37"/>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22">
    <w:name w:val="footnote text"/>
    <w:basedOn w:val="1"/>
    <w:qFormat/>
    <w:uiPriority w:val="0"/>
    <w:pPr>
      <w:numPr>
        <w:ilvl w:val="0"/>
        <w:numId w:val="1"/>
      </w:numPr>
      <w:snapToGrid w:val="0"/>
      <w:jc w:val="left"/>
    </w:pPr>
    <w:rPr>
      <w:rFonts w:ascii="宋体"/>
      <w:sz w:val="18"/>
      <w:szCs w:val="18"/>
    </w:rPr>
  </w:style>
  <w:style w:type="paragraph" w:styleId="23">
    <w:name w:val="toc 6"/>
    <w:basedOn w:val="1"/>
    <w:next w:val="1"/>
    <w:semiHidden/>
    <w:uiPriority w:val="0"/>
    <w:pPr>
      <w:tabs>
        <w:tab w:val="right" w:leader="dot" w:pos="9241"/>
      </w:tabs>
      <w:ind w:firstLine="400" w:firstLineChars="400"/>
      <w:jc w:val="left"/>
    </w:pPr>
    <w:rPr>
      <w:rFonts w:ascii="宋体"/>
      <w:szCs w:val="21"/>
    </w:rPr>
  </w:style>
  <w:style w:type="paragraph" w:styleId="24">
    <w:name w:val="index 7"/>
    <w:basedOn w:val="1"/>
    <w:next w:val="1"/>
    <w:uiPriority w:val="0"/>
    <w:pPr>
      <w:ind w:left="1470" w:hanging="210"/>
      <w:jc w:val="left"/>
    </w:pPr>
    <w:rPr>
      <w:rFonts w:ascii="Calibri" w:hAnsi="Calibri"/>
      <w:sz w:val="20"/>
      <w:szCs w:val="20"/>
    </w:rPr>
  </w:style>
  <w:style w:type="paragraph" w:styleId="25">
    <w:name w:val="index 9"/>
    <w:basedOn w:val="1"/>
    <w:next w:val="1"/>
    <w:qFormat/>
    <w:uiPriority w:val="0"/>
    <w:pPr>
      <w:ind w:left="1890" w:hanging="210"/>
      <w:jc w:val="left"/>
    </w:pPr>
    <w:rPr>
      <w:rFonts w:ascii="Calibri" w:hAnsi="Calibri"/>
      <w:sz w:val="20"/>
      <w:szCs w:val="20"/>
    </w:rPr>
  </w:style>
  <w:style w:type="paragraph" w:styleId="26">
    <w:name w:val="toc 2"/>
    <w:basedOn w:val="1"/>
    <w:next w:val="1"/>
    <w:semiHidden/>
    <w:qFormat/>
    <w:uiPriority w:val="0"/>
    <w:pPr>
      <w:tabs>
        <w:tab w:val="right" w:leader="dot" w:pos="9242"/>
      </w:tabs>
    </w:pPr>
    <w:rPr>
      <w:rFonts w:ascii="宋体"/>
      <w:szCs w:val="21"/>
    </w:rPr>
  </w:style>
  <w:style w:type="paragraph" w:styleId="27">
    <w:name w:val="toc 9"/>
    <w:basedOn w:val="1"/>
    <w:next w:val="1"/>
    <w:semiHidden/>
    <w:uiPriority w:val="0"/>
    <w:pPr>
      <w:ind w:left="1470"/>
      <w:jc w:val="left"/>
    </w:pPr>
    <w:rPr>
      <w:sz w:val="20"/>
      <w:szCs w:val="20"/>
    </w:rPr>
  </w:style>
  <w:style w:type="paragraph" w:styleId="28">
    <w:name w:val="index 2"/>
    <w:basedOn w:val="1"/>
    <w:next w:val="1"/>
    <w:qFormat/>
    <w:uiPriority w:val="0"/>
    <w:pPr>
      <w:ind w:left="420" w:hanging="210"/>
      <w:jc w:val="left"/>
    </w:pPr>
    <w:rPr>
      <w:rFonts w:ascii="Calibri" w:hAnsi="Calibri"/>
      <w:sz w:val="20"/>
      <w:szCs w:val="20"/>
    </w:rPr>
  </w:style>
  <w:style w:type="table" w:styleId="30">
    <w:name w:val="Table Grid"/>
    <w:basedOn w:val="29"/>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qFormat/>
    <w:uiPriority w:val="0"/>
    <w:rPr>
      <w:vertAlign w:val="superscript"/>
    </w:rPr>
  </w:style>
  <w:style w:type="character" w:styleId="33">
    <w:name w:val="page number"/>
    <w:qFormat/>
    <w:uiPriority w:val="0"/>
    <w:rPr>
      <w:rFonts w:ascii="Times New Roman" w:hAnsi="Times New Roman" w:eastAsia="宋体"/>
      <w:sz w:val="18"/>
    </w:rPr>
  </w:style>
  <w:style w:type="character" w:styleId="34">
    <w:name w:val="FollowedHyperlink"/>
    <w:qFormat/>
    <w:uiPriority w:val="0"/>
    <w:rPr>
      <w:color w:val="800080"/>
      <w:u w:val="single"/>
    </w:rPr>
  </w:style>
  <w:style w:type="character" w:styleId="35">
    <w:name w:val="Hyperlink"/>
    <w:uiPriority w:val="0"/>
    <w:rPr>
      <w:color w:val="0000FF"/>
      <w:spacing w:val="0"/>
      <w:w w:val="100"/>
      <w:szCs w:val="21"/>
      <w:u w:val="single"/>
    </w:rPr>
  </w:style>
  <w:style w:type="character" w:styleId="36">
    <w:name w:val="footnote reference"/>
    <w:semiHidden/>
    <w:qFormat/>
    <w:uiPriority w:val="0"/>
    <w:rPr>
      <w:vertAlign w:val="superscript"/>
    </w:rPr>
  </w:style>
  <w:style w:type="character" w:customStyle="1" w:styleId="37">
    <w:name w:val="段 Char"/>
    <w:link w:val="21"/>
    <w:uiPriority w:val="0"/>
    <w:rPr>
      <w:rFonts w:ascii="宋体"/>
      <w:sz w:val="21"/>
      <w:lang w:val="en-US" w:eastAsia="zh-CN" w:bidi="ar-SA"/>
    </w:rPr>
  </w:style>
  <w:style w:type="paragraph" w:customStyle="1" w:styleId="38">
    <w:name w:val="一级条标题"/>
    <w:next w:val="21"/>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39">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40">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41">
    <w:name w:val="章标题"/>
    <w:next w:val="21"/>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42">
    <w:name w:val="二级条标题"/>
    <w:basedOn w:val="38"/>
    <w:next w:val="21"/>
    <w:uiPriority w:val="0"/>
    <w:pPr>
      <w:numPr>
        <w:ilvl w:val="2"/>
      </w:numPr>
      <w:spacing w:before="50" w:after="50"/>
      <w:outlineLvl w:val="3"/>
    </w:pPr>
  </w:style>
  <w:style w:type="paragraph" w:customStyle="1" w:styleId="43">
    <w:name w:val="封面标准号2"/>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44">
    <w:name w:val="列项——（一级）"/>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45">
    <w:name w:val="列项●（二级）"/>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46">
    <w:name w:val="目次、标准名称标题"/>
    <w:basedOn w:val="1"/>
    <w:next w:val="21"/>
    <w:link w:val="135"/>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47">
    <w:name w:val="三级条标题"/>
    <w:basedOn w:val="42"/>
    <w:next w:val="21"/>
    <w:uiPriority w:val="0"/>
    <w:pPr>
      <w:numPr>
        <w:ilvl w:val="3"/>
      </w:numPr>
      <w:outlineLvl w:val="4"/>
    </w:pPr>
  </w:style>
  <w:style w:type="paragraph" w:customStyle="1" w:styleId="48">
    <w:name w:val="示例"/>
    <w:next w:val="49"/>
    <w:uiPriority w:val="0"/>
    <w:pPr>
      <w:widowControl w:val="0"/>
      <w:numPr>
        <w:ilvl w:val="0"/>
        <w:numId w:val="4"/>
      </w:numPr>
      <w:jc w:val="both"/>
    </w:pPr>
    <w:rPr>
      <w:rFonts w:ascii="宋体" w:hAnsi="Times New Roman" w:eastAsia="宋体" w:cs="Times New Roman"/>
      <w:sz w:val="18"/>
      <w:szCs w:val="18"/>
      <w:lang w:val="en-US" w:eastAsia="zh-CN" w:bidi="ar-SA"/>
    </w:rPr>
  </w:style>
  <w:style w:type="paragraph" w:customStyle="1" w:styleId="49">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0">
    <w:name w:val="数字编号列项（二级）"/>
    <w:uiPriority w:val="0"/>
    <w:pPr>
      <w:numPr>
        <w:ilvl w:val="1"/>
        <w:numId w:val="5"/>
      </w:numPr>
      <w:jc w:val="both"/>
    </w:pPr>
    <w:rPr>
      <w:rFonts w:ascii="宋体" w:hAnsi="Times New Roman" w:eastAsia="宋体" w:cs="Times New Roman"/>
      <w:sz w:val="21"/>
      <w:lang w:val="en-US" w:eastAsia="zh-CN" w:bidi="ar-SA"/>
    </w:rPr>
  </w:style>
  <w:style w:type="paragraph" w:customStyle="1" w:styleId="51">
    <w:name w:val="四级条标题"/>
    <w:basedOn w:val="47"/>
    <w:next w:val="21"/>
    <w:uiPriority w:val="0"/>
    <w:pPr>
      <w:numPr>
        <w:ilvl w:val="4"/>
      </w:numPr>
      <w:outlineLvl w:val="5"/>
    </w:pPr>
  </w:style>
  <w:style w:type="paragraph" w:customStyle="1" w:styleId="52">
    <w:name w:val="五级条标题"/>
    <w:basedOn w:val="51"/>
    <w:next w:val="21"/>
    <w:uiPriority w:val="0"/>
    <w:pPr>
      <w:numPr>
        <w:ilvl w:val="5"/>
      </w:numPr>
      <w:outlineLvl w:val="6"/>
    </w:pPr>
  </w:style>
  <w:style w:type="paragraph" w:customStyle="1" w:styleId="53">
    <w:name w:val="注："/>
    <w:next w:val="21"/>
    <w:uiPriority w:val="0"/>
    <w:pPr>
      <w:widowControl w:val="0"/>
      <w:numPr>
        <w:ilvl w:val="0"/>
        <w:numId w:val="6"/>
      </w:numPr>
      <w:autoSpaceDE w:val="0"/>
      <w:autoSpaceDN w:val="0"/>
      <w:ind w:left="726" w:hanging="363"/>
      <w:jc w:val="both"/>
    </w:pPr>
    <w:rPr>
      <w:rFonts w:ascii="宋体" w:hAnsi="Times New Roman" w:eastAsia="宋体" w:cs="Times New Roman"/>
      <w:sz w:val="18"/>
      <w:szCs w:val="18"/>
      <w:lang w:val="en-US" w:eastAsia="zh-CN" w:bidi="ar-SA"/>
    </w:rPr>
  </w:style>
  <w:style w:type="paragraph" w:customStyle="1" w:styleId="54">
    <w:name w:val="注×："/>
    <w:uiPriority w:val="0"/>
    <w:pPr>
      <w:widowControl w:val="0"/>
      <w:numPr>
        <w:ilvl w:val="0"/>
        <w:numId w:val="7"/>
      </w:numPr>
      <w:autoSpaceDE w:val="0"/>
      <w:autoSpaceDN w:val="0"/>
      <w:ind w:left="811" w:hanging="448"/>
      <w:jc w:val="both"/>
    </w:pPr>
    <w:rPr>
      <w:rFonts w:ascii="宋体" w:hAnsi="Times New Roman" w:eastAsia="宋体" w:cs="Times New Roman"/>
      <w:sz w:val="18"/>
      <w:szCs w:val="18"/>
      <w:lang w:val="en-US" w:eastAsia="zh-CN" w:bidi="ar-SA"/>
    </w:rPr>
  </w:style>
  <w:style w:type="paragraph" w:customStyle="1" w:styleId="55">
    <w:name w:val="字母编号列项（一级）"/>
    <w:uiPriority w:val="0"/>
    <w:pPr>
      <w:numPr>
        <w:ilvl w:val="0"/>
        <w:numId w:val="5"/>
      </w:numPr>
      <w:jc w:val="both"/>
    </w:pPr>
    <w:rPr>
      <w:rFonts w:ascii="宋体" w:hAnsi="Times New Roman" w:eastAsia="宋体" w:cs="Times New Roman"/>
      <w:sz w:val="21"/>
      <w:lang w:val="en-US" w:eastAsia="zh-CN" w:bidi="ar-SA"/>
    </w:rPr>
  </w:style>
  <w:style w:type="paragraph" w:customStyle="1" w:styleId="56">
    <w:name w:val="列项◆（三级）"/>
    <w:basedOn w:val="1"/>
    <w:uiPriority w:val="0"/>
    <w:pPr>
      <w:numPr>
        <w:ilvl w:val="2"/>
        <w:numId w:val="3"/>
      </w:numPr>
    </w:pPr>
    <w:rPr>
      <w:rFonts w:ascii="宋体"/>
      <w:szCs w:val="21"/>
    </w:rPr>
  </w:style>
  <w:style w:type="paragraph" w:customStyle="1" w:styleId="57">
    <w:name w:val="编号列项（三级）"/>
    <w:uiPriority w:val="0"/>
    <w:pPr>
      <w:numPr>
        <w:ilvl w:val="2"/>
        <w:numId w:val="5"/>
      </w:numPr>
    </w:pPr>
    <w:rPr>
      <w:rFonts w:ascii="宋体" w:hAnsi="Times New Roman" w:eastAsia="宋体" w:cs="Times New Roman"/>
      <w:sz w:val="21"/>
      <w:lang w:val="en-US" w:eastAsia="zh-CN" w:bidi="ar-SA"/>
    </w:rPr>
  </w:style>
  <w:style w:type="paragraph" w:customStyle="1" w:styleId="58">
    <w:name w:val="示例×："/>
    <w:basedOn w:val="41"/>
    <w:qFormat/>
    <w:uiPriority w:val="0"/>
    <w:pPr>
      <w:numPr>
        <w:numId w:val="8"/>
      </w:numPr>
      <w:spacing w:beforeLines="0" w:afterLines="0"/>
      <w:outlineLvl w:val="9"/>
    </w:pPr>
    <w:rPr>
      <w:rFonts w:ascii="宋体" w:eastAsia="宋体"/>
      <w:sz w:val="18"/>
      <w:szCs w:val="18"/>
    </w:rPr>
  </w:style>
  <w:style w:type="paragraph" w:customStyle="1" w:styleId="59">
    <w:name w:val="二级无"/>
    <w:basedOn w:val="42"/>
    <w:uiPriority w:val="0"/>
    <w:pPr>
      <w:spacing w:beforeLines="0" w:afterLines="0"/>
    </w:pPr>
    <w:rPr>
      <w:rFonts w:ascii="宋体" w:eastAsia="宋体"/>
    </w:rPr>
  </w:style>
  <w:style w:type="paragraph" w:customStyle="1" w:styleId="60">
    <w:name w:val="注：（正文）"/>
    <w:basedOn w:val="53"/>
    <w:next w:val="21"/>
    <w:uiPriority w:val="0"/>
    <w:pPr>
      <w:numPr>
        <w:numId w:val="9"/>
      </w:numPr>
      <w:ind w:left="726" w:hanging="363"/>
    </w:pPr>
  </w:style>
  <w:style w:type="paragraph" w:customStyle="1" w:styleId="61">
    <w:name w:val="注×：（正文）"/>
    <w:uiPriority w:val="0"/>
    <w:pPr>
      <w:numPr>
        <w:ilvl w:val="0"/>
        <w:numId w:val="10"/>
      </w:numPr>
      <w:ind w:left="811" w:hanging="448"/>
      <w:jc w:val="both"/>
    </w:pPr>
    <w:rPr>
      <w:rFonts w:ascii="宋体" w:hAnsi="Times New Roman" w:eastAsia="宋体" w:cs="Times New Roman"/>
      <w:sz w:val="18"/>
      <w:szCs w:val="18"/>
      <w:lang w:val="en-US" w:eastAsia="zh-CN" w:bidi="ar-SA"/>
    </w:rPr>
  </w:style>
  <w:style w:type="paragraph" w:customStyle="1" w:styleId="62">
    <w:name w:val="标准标志"/>
    <w:next w:val="1"/>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63">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64">
    <w:name w:val="标准书脚_偶数页"/>
    <w:uiPriority w:val="0"/>
    <w:pPr>
      <w:spacing w:before="120"/>
      <w:ind w:left="221"/>
    </w:pPr>
    <w:rPr>
      <w:rFonts w:ascii="宋体" w:hAnsi="Times New Roman" w:eastAsia="宋体" w:cs="Times New Roman"/>
      <w:sz w:val="18"/>
      <w:szCs w:val="18"/>
      <w:lang w:val="en-US" w:eastAsia="zh-CN" w:bidi="ar-SA"/>
    </w:rPr>
  </w:style>
  <w:style w:type="paragraph" w:customStyle="1" w:styleId="65">
    <w:name w:val="标准书眉_偶数页"/>
    <w:basedOn w:val="40"/>
    <w:next w:val="1"/>
    <w:qFormat/>
    <w:uiPriority w:val="0"/>
    <w:pPr>
      <w:jc w:val="left"/>
    </w:pPr>
  </w:style>
  <w:style w:type="paragraph" w:customStyle="1" w:styleId="66">
    <w:name w:val="标准书眉一"/>
    <w:uiPriority w:val="0"/>
    <w:pPr>
      <w:jc w:val="both"/>
    </w:pPr>
    <w:rPr>
      <w:rFonts w:ascii="Times New Roman" w:hAnsi="Times New Roman" w:eastAsia="宋体" w:cs="Times New Roman"/>
      <w:lang w:val="en-US" w:eastAsia="zh-CN" w:bidi="ar-SA"/>
    </w:rPr>
  </w:style>
  <w:style w:type="paragraph" w:customStyle="1" w:styleId="67">
    <w:name w:val="参考文献"/>
    <w:basedOn w:val="1"/>
    <w:next w:val="21"/>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68">
    <w:name w:val="参考文献、索引标题"/>
    <w:basedOn w:val="1"/>
    <w:next w:val="21"/>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69">
    <w:name w:val="发布"/>
    <w:uiPriority w:val="0"/>
    <w:rPr>
      <w:rFonts w:ascii="黑体" w:eastAsia="黑体"/>
      <w:spacing w:val="85"/>
      <w:w w:val="100"/>
      <w:position w:val="3"/>
      <w:sz w:val="28"/>
      <w:szCs w:val="28"/>
    </w:rPr>
  </w:style>
  <w:style w:type="paragraph" w:customStyle="1" w:styleId="70">
    <w:name w:val="发布部门"/>
    <w:next w:val="21"/>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71">
    <w:name w:val="发布日期"/>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72">
    <w:name w:val="封面标准代替信息"/>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73">
    <w:name w:val="封面标准号1"/>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74">
    <w:name w:val="封面标准名称"/>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75">
    <w:name w:val="封面标准英文名称"/>
    <w:basedOn w:val="74"/>
    <w:uiPriority w:val="0"/>
    <w:pPr>
      <w:spacing w:before="370" w:line="400" w:lineRule="exact"/>
    </w:pPr>
    <w:rPr>
      <w:rFonts w:ascii="Times New Roman"/>
      <w:sz w:val="28"/>
      <w:szCs w:val="28"/>
    </w:rPr>
  </w:style>
  <w:style w:type="paragraph" w:customStyle="1" w:styleId="76">
    <w:name w:val="封面一致性程度标识"/>
    <w:basedOn w:val="75"/>
    <w:uiPriority w:val="0"/>
    <w:pPr>
      <w:spacing w:before="440"/>
    </w:pPr>
    <w:rPr>
      <w:rFonts w:ascii="宋体" w:eastAsia="宋体"/>
    </w:rPr>
  </w:style>
  <w:style w:type="paragraph" w:customStyle="1" w:styleId="77">
    <w:name w:val="封面标准文稿类别"/>
    <w:basedOn w:val="76"/>
    <w:uiPriority w:val="0"/>
    <w:pPr>
      <w:spacing w:after="160" w:line="240" w:lineRule="auto"/>
    </w:pPr>
    <w:rPr>
      <w:sz w:val="24"/>
    </w:rPr>
  </w:style>
  <w:style w:type="paragraph" w:customStyle="1" w:styleId="78">
    <w:name w:val="封面标准文稿编辑信息"/>
    <w:basedOn w:val="77"/>
    <w:uiPriority w:val="0"/>
    <w:pPr>
      <w:spacing w:before="180" w:line="180" w:lineRule="exact"/>
    </w:pPr>
    <w:rPr>
      <w:sz w:val="21"/>
    </w:rPr>
  </w:style>
  <w:style w:type="paragraph" w:customStyle="1" w:styleId="79">
    <w:name w:val="封面正文"/>
    <w:uiPriority w:val="0"/>
    <w:pPr>
      <w:jc w:val="both"/>
    </w:pPr>
    <w:rPr>
      <w:rFonts w:ascii="Times New Roman" w:hAnsi="Times New Roman" w:eastAsia="宋体" w:cs="Times New Roman"/>
      <w:lang w:val="en-US" w:eastAsia="zh-CN" w:bidi="ar-SA"/>
    </w:rPr>
  </w:style>
  <w:style w:type="paragraph" w:customStyle="1" w:styleId="80">
    <w:name w:val="附录标识"/>
    <w:basedOn w:val="1"/>
    <w:next w:val="21"/>
    <w:uiPriority w:val="0"/>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81">
    <w:name w:val="附录标题"/>
    <w:basedOn w:val="21"/>
    <w:next w:val="21"/>
    <w:uiPriority w:val="0"/>
    <w:pPr>
      <w:ind w:firstLine="0" w:firstLineChars="0"/>
      <w:jc w:val="center"/>
    </w:pPr>
    <w:rPr>
      <w:rFonts w:ascii="黑体" w:eastAsia="黑体"/>
    </w:rPr>
  </w:style>
  <w:style w:type="paragraph" w:customStyle="1" w:styleId="82">
    <w:name w:val="附录表标号"/>
    <w:basedOn w:val="1"/>
    <w:next w:val="21"/>
    <w:uiPriority w:val="0"/>
    <w:pPr>
      <w:numPr>
        <w:ilvl w:val="0"/>
        <w:numId w:val="12"/>
      </w:numPr>
      <w:tabs>
        <w:tab w:val="clear" w:pos="0"/>
      </w:tabs>
      <w:spacing w:line="14" w:lineRule="exact"/>
      <w:ind w:left="811" w:hanging="448"/>
      <w:jc w:val="center"/>
      <w:outlineLvl w:val="0"/>
    </w:pPr>
    <w:rPr>
      <w:color w:val="FFFFFF"/>
    </w:rPr>
  </w:style>
  <w:style w:type="paragraph" w:customStyle="1" w:styleId="83">
    <w:name w:val="附录表标题"/>
    <w:basedOn w:val="1"/>
    <w:next w:val="21"/>
    <w:uiPriority w:val="0"/>
    <w:pPr>
      <w:numPr>
        <w:ilvl w:val="1"/>
        <w:numId w:val="12"/>
      </w:numPr>
      <w:tabs>
        <w:tab w:val="left" w:pos="180"/>
      </w:tabs>
      <w:spacing w:beforeLines="50" w:afterLines="50"/>
      <w:ind w:left="0" w:firstLine="0"/>
      <w:jc w:val="center"/>
    </w:pPr>
    <w:rPr>
      <w:rFonts w:ascii="黑体" w:eastAsia="黑体"/>
      <w:szCs w:val="21"/>
    </w:rPr>
  </w:style>
  <w:style w:type="paragraph" w:customStyle="1" w:styleId="84">
    <w:name w:val="附录二级条标题"/>
    <w:basedOn w:val="1"/>
    <w:next w:val="21"/>
    <w:uiPriority w:val="0"/>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85">
    <w:name w:val="附录二级无"/>
    <w:basedOn w:val="84"/>
    <w:uiPriority w:val="0"/>
    <w:pPr>
      <w:tabs>
        <w:tab w:val="clear" w:pos="360"/>
      </w:tabs>
      <w:spacing w:beforeLines="0" w:afterLines="0"/>
    </w:pPr>
    <w:rPr>
      <w:rFonts w:ascii="宋体" w:eastAsia="宋体"/>
      <w:szCs w:val="21"/>
    </w:rPr>
  </w:style>
  <w:style w:type="paragraph" w:customStyle="1" w:styleId="86">
    <w:name w:val="附录公式"/>
    <w:basedOn w:val="21"/>
    <w:next w:val="21"/>
    <w:link w:val="87"/>
    <w:qFormat/>
    <w:uiPriority w:val="0"/>
  </w:style>
  <w:style w:type="character" w:customStyle="1" w:styleId="87">
    <w:name w:val="附录公式 Char"/>
    <w:basedOn w:val="37"/>
    <w:link w:val="86"/>
    <w:uiPriority w:val="0"/>
    <w:rPr>
      <w:rFonts w:ascii="宋体"/>
      <w:sz w:val="21"/>
      <w:lang w:val="en-US" w:eastAsia="zh-CN" w:bidi="ar-SA"/>
    </w:rPr>
  </w:style>
  <w:style w:type="paragraph" w:customStyle="1" w:styleId="88">
    <w:name w:val="附录公式编号制表符"/>
    <w:basedOn w:val="1"/>
    <w:next w:val="21"/>
    <w:qFormat/>
    <w:uiPriority w:val="0"/>
    <w:pPr>
      <w:widowControl/>
      <w:tabs>
        <w:tab w:val="center" w:pos="4201"/>
        <w:tab w:val="right" w:leader="dot" w:pos="9298"/>
      </w:tabs>
      <w:autoSpaceDE w:val="0"/>
      <w:autoSpaceDN w:val="0"/>
    </w:pPr>
    <w:rPr>
      <w:rFonts w:ascii="宋体"/>
      <w:kern w:val="0"/>
      <w:szCs w:val="20"/>
    </w:rPr>
  </w:style>
  <w:style w:type="paragraph" w:customStyle="1" w:styleId="89">
    <w:name w:val="附录三级条标题"/>
    <w:basedOn w:val="84"/>
    <w:next w:val="21"/>
    <w:uiPriority w:val="0"/>
    <w:pPr>
      <w:numPr>
        <w:ilvl w:val="4"/>
      </w:numPr>
      <w:outlineLvl w:val="4"/>
    </w:pPr>
  </w:style>
  <w:style w:type="paragraph" w:customStyle="1" w:styleId="90">
    <w:name w:val="附录三级无"/>
    <w:basedOn w:val="89"/>
    <w:qFormat/>
    <w:uiPriority w:val="0"/>
    <w:pPr>
      <w:tabs>
        <w:tab w:val="clear" w:pos="360"/>
      </w:tabs>
      <w:spacing w:beforeLines="0" w:afterLines="0"/>
    </w:pPr>
    <w:rPr>
      <w:rFonts w:ascii="宋体" w:eastAsia="宋体"/>
      <w:szCs w:val="21"/>
    </w:rPr>
  </w:style>
  <w:style w:type="paragraph" w:customStyle="1" w:styleId="91">
    <w:name w:val="附录数字编号列项（二级）"/>
    <w:qFormat/>
    <w:uiPriority w:val="0"/>
    <w:pPr>
      <w:numPr>
        <w:ilvl w:val="1"/>
        <w:numId w:val="13"/>
      </w:numPr>
    </w:pPr>
    <w:rPr>
      <w:rFonts w:ascii="宋体" w:hAnsi="Times New Roman" w:eastAsia="宋体" w:cs="Times New Roman"/>
      <w:sz w:val="21"/>
      <w:lang w:val="en-US" w:eastAsia="zh-CN" w:bidi="ar-SA"/>
    </w:rPr>
  </w:style>
  <w:style w:type="paragraph" w:customStyle="1" w:styleId="92">
    <w:name w:val="附录四级条标题"/>
    <w:basedOn w:val="89"/>
    <w:next w:val="21"/>
    <w:uiPriority w:val="0"/>
    <w:pPr>
      <w:numPr>
        <w:ilvl w:val="5"/>
      </w:numPr>
      <w:outlineLvl w:val="5"/>
    </w:pPr>
  </w:style>
  <w:style w:type="paragraph" w:customStyle="1" w:styleId="93">
    <w:name w:val="附录四级无"/>
    <w:basedOn w:val="92"/>
    <w:qFormat/>
    <w:uiPriority w:val="0"/>
    <w:pPr>
      <w:tabs>
        <w:tab w:val="clear" w:pos="360"/>
      </w:tabs>
      <w:spacing w:beforeLines="0" w:afterLines="0"/>
    </w:pPr>
    <w:rPr>
      <w:rFonts w:ascii="宋体" w:eastAsia="宋体"/>
      <w:szCs w:val="21"/>
    </w:rPr>
  </w:style>
  <w:style w:type="paragraph" w:customStyle="1" w:styleId="94">
    <w:name w:val="附录图标号"/>
    <w:basedOn w:val="1"/>
    <w:qFormat/>
    <w:uiPriority w:val="0"/>
    <w:pPr>
      <w:keepNext/>
      <w:pageBreakBefore/>
      <w:widowControl/>
      <w:numPr>
        <w:ilvl w:val="0"/>
        <w:numId w:val="14"/>
      </w:numPr>
      <w:spacing w:line="14" w:lineRule="exact"/>
      <w:ind w:left="0" w:firstLine="363"/>
      <w:jc w:val="center"/>
      <w:outlineLvl w:val="0"/>
    </w:pPr>
    <w:rPr>
      <w:color w:val="FFFFFF"/>
    </w:rPr>
  </w:style>
  <w:style w:type="paragraph" w:customStyle="1" w:styleId="95">
    <w:name w:val="附录图标题"/>
    <w:basedOn w:val="1"/>
    <w:next w:val="21"/>
    <w:qFormat/>
    <w:uiPriority w:val="0"/>
    <w:pPr>
      <w:numPr>
        <w:ilvl w:val="1"/>
        <w:numId w:val="14"/>
      </w:numPr>
      <w:tabs>
        <w:tab w:val="left" w:pos="363"/>
      </w:tabs>
      <w:spacing w:beforeLines="50" w:afterLines="50"/>
      <w:ind w:left="0" w:firstLine="0"/>
      <w:jc w:val="center"/>
    </w:pPr>
    <w:rPr>
      <w:rFonts w:ascii="黑体" w:eastAsia="黑体"/>
      <w:szCs w:val="21"/>
    </w:rPr>
  </w:style>
  <w:style w:type="paragraph" w:customStyle="1" w:styleId="96">
    <w:name w:val="附录五级条标题"/>
    <w:basedOn w:val="92"/>
    <w:next w:val="21"/>
    <w:qFormat/>
    <w:uiPriority w:val="0"/>
    <w:pPr>
      <w:numPr>
        <w:ilvl w:val="6"/>
      </w:numPr>
      <w:outlineLvl w:val="6"/>
    </w:pPr>
  </w:style>
  <w:style w:type="paragraph" w:customStyle="1" w:styleId="97">
    <w:name w:val="附录五级无"/>
    <w:basedOn w:val="96"/>
    <w:uiPriority w:val="0"/>
    <w:pPr>
      <w:tabs>
        <w:tab w:val="clear" w:pos="360"/>
      </w:tabs>
      <w:spacing w:beforeLines="0" w:afterLines="0"/>
    </w:pPr>
    <w:rPr>
      <w:rFonts w:ascii="宋体" w:eastAsia="宋体"/>
      <w:szCs w:val="21"/>
    </w:rPr>
  </w:style>
  <w:style w:type="paragraph" w:customStyle="1" w:styleId="98">
    <w:name w:val="附录章标题"/>
    <w:next w:val="21"/>
    <w:uiPriority w:val="0"/>
    <w:pPr>
      <w:numPr>
        <w:ilvl w:val="1"/>
        <w:numId w:val="11"/>
      </w:numPr>
      <w:tabs>
        <w:tab w:val="left" w:pos="360"/>
      </w:tabs>
      <w:wordWrap w:val="0"/>
      <w:overflowPunct w:val="0"/>
      <w:autoSpaceDE w:val="0"/>
      <w:spacing w:beforeLines="100" w:afterLines="100"/>
      <w:jc w:val="both"/>
      <w:textAlignment w:val="baseline"/>
      <w:outlineLvl w:val="1"/>
    </w:pPr>
    <w:rPr>
      <w:rFonts w:ascii="黑体" w:hAnsi="Times New Roman" w:eastAsia="黑体" w:cs="Times New Roman"/>
      <w:kern w:val="21"/>
      <w:sz w:val="21"/>
      <w:lang w:val="en-US" w:eastAsia="zh-CN" w:bidi="ar-SA"/>
    </w:rPr>
  </w:style>
  <w:style w:type="paragraph" w:customStyle="1" w:styleId="99">
    <w:name w:val="附录一级条标题"/>
    <w:basedOn w:val="98"/>
    <w:next w:val="21"/>
    <w:qFormat/>
    <w:uiPriority w:val="0"/>
    <w:pPr>
      <w:numPr>
        <w:ilvl w:val="2"/>
      </w:numPr>
      <w:autoSpaceDN w:val="0"/>
      <w:spacing w:beforeLines="50" w:afterLines="50"/>
      <w:outlineLvl w:val="2"/>
    </w:pPr>
  </w:style>
  <w:style w:type="paragraph" w:customStyle="1" w:styleId="100">
    <w:name w:val="附录一级无"/>
    <w:basedOn w:val="99"/>
    <w:qFormat/>
    <w:uiPriority w:val="0"/>
    <w:pPr>
      <w:tabs>
        <w:tab w:val="clear" w:pos="360"/>
      </w:tabs>
      <w:spacing w:beforeLines="0" w:afterLines="0"/>
    </w:pPr>
    <w:rPr>
      <w:rFonts w:ascii="宋体" w:eastAsia="宋体"/>
      <w:szCs w:val="21"/>
    </w:rPr>
  </w:style>
  <w:style w:type="paragraph" w:customStyle="1" w:styleId="101">
    <w:name w:val="附录字母编号列项（一级）"/>
    <w:qFormat/>
    <w:uiPriority w:val="0"/>
    <w:pPr>
      <w:numPr>
        <w:ilvl w:val="0"/>
        <w:numId w:val="13"/>
      </w:numPr>
    </w:pPr>
    <w:rPr>
      <w:rFonts w:ascii="宋体" w:hAnsi="Times New Roman" w:eastAsia="宋体" w:cs="Times New Roman"/>
      <w:sz w:val="21"/>
      <w:lang w:val="en-US" w:eastAsia="zh-CN" w:bidi="ar-SA"/>
    </w:rPr>
  </w:style>
  <w:style w:type="paragraph" w:customStyle="1" w:styleId="102">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03">
    <w:name w:val="列项说明数字编号"/>
    <w:qFormat/>
    <w:uiPriority w:val="0"/>
    <w:pPr>
      <w:ind w:left="600" w:leftChars="400" w:hanging="200" w:hangingChars="200"/>
    </w:pPr>
    <w:rPr>
      <w:rFonts w:ascii="宋体" w:hAnsi="Times New Roman" w:eastAsia="宋体" w:cs="Times New Roman"/>
      <w:sz w:val="21"/>
      <w:lang w:val="en-US" w:eastAsia="zh-CN" w:bidi="ar-SA"/>
    </w:rPr>
  </w:style>
  <w:style w:type="paragraph" w:customStyle="1" w:styleId="104">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05">
    <w:name w:val="其他标准标志"/>
    <w:basedOn w:val="62"/>
    <w:qFormat/>
    <w:uiPriority w:val="0"/>
    <w:pPr>
      <w:framePr w:w="6101" w:vAnchor="page" w:hAnchor="page" w:x="4673" w:y="942"/>
    </w:pPr>
    <w:rPr>
      <w:w w:val="130"/>
    </w:rPr>
  </w:style>
  <w:style w:type="paragraph" w:customStyle="1" w:styleId="106">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107">
    <w:name w:val="其他发布部门"/>
    <w:basedOn w:val="70"/>
    <w:qFormat/>
    <w:uiPriority w:val="0"/>
    <w:pPr>
      <w:framePr w:y="15310"/>
      <w:spacing w:line="0" w:lineRule="atLeast"/>
    </w:pPr>
    <w:rPr>
      <w:rFonts w:ascii="黑体" w:eastAsia="黑体"/>
      <w:b w:val="0"/>
    </w:rPr>
  </w:style>
  <w:style w:type="paragraph" w:customStyle="1" w:styleId="108">
    <w:name w:val="前言、引言标题"/>
    <w:next w:val="21"/>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9">
    <w:name w:val="三级无"/>
    <w:basedOn w:val="47"/>
    <w:qFormat/>
    <w:uiPriority w:val="0"/>
    <w:pPr>
      <w:spacing w:beforeLines="0" w:afterLines="0"/>
    </w:pPr>
    <w:rPr>
      <w:rFonts w:ascii="宋体" w:eastAsia="宋体"/>
    </w:rPr>
  </w:style>
  <w:style w:type="paragraph" w:customStyle="1" w:styleId="110">
    <w:name w:val="实施日期"/>
    <w:qFormat/>
    <w:uiPriority w:val="0"/>
    <w:pPr>
      <w:framePr w:w="3997" w:h="471" w:hRule="exact" w:vSpace="181" w:wrap="around" w:vAnchor="page" w:hAnchor="page" w:x="7089" w:y="14097"/>
      <w:jc w:val="right"/>
    </w:pPr>
    <w:rPr>
      <w:rFonts w:ascii="Times New Roman" w:hAnsi="Times New Roman" w:eastAsia="黑体" w:cs="Times New Roman"/>
      <w:sz w:val="28"/>
      <w:lang w:val="en-US" w:eastAsia="zh-CN" w:bidi="ar-SA"/>
    </w:rPr>
  </w:style>
  <w:style w:type="paragraph" w:customStyle="1" w:styleId="111">
    <w:name w:val="示例后文字"/>
    <w:basedOn w:val="21"/>
    <w:next w:val="21"/>
    <w:qFormat/>
    <w:uiPriority w:val="0"/>
    <w:pPr>
      <w:ind w:firstLine="360"/>
    </w:pPr>
    <w:rPr>
      <w:sz w:val="18"/>
    </w:rPr>
  </w:style>
  <w:style w:type="paragraph" w:customStyle="1" w:styleId="112">
    <w:name w:val="首示例"/>
    <w:next w:val="21"/>
    <w:link w:val="113"/>
    <w:qFormat/>
    <w:uiPriority w:val="0"/>
    <w:pPr>
      <w:tabs>
        <w:tab w:val="left" w:pos="360"/>
      </w:tabs>
    </w:pPr>
    <w:rPr>
      <w:rFonts w:ascii="宋体" w:hAnsi="宋体" w:eastAsia="宋体" w:cs="Times New Roman"/>
      <w:kern w:val="2"/>
      <w:sz w:val="18"/>
      <w:szCs w:val="18"/>
      <w:lang w:val="en-US" w:eastAsia="zh-CN" w:bidi="ar-SA"/>
    </w:rPr>
  </w:style>
  <w:style w:type="character" w:customStyle="1" w:styleId="113">
    <w:name w:val="首示例 Char"/>
    <w:link w:val="112"/>
    <w:qFormat/>
    <w:uiPriority w:val="0"/>
    <w:rPr>
      <w:rFonts w:ascii="宋体" w:hAnsi="宋体"/>
      <w:kern w:val="2"/>
      <w:sz w:val="18"/>
      <w:szCs w:val="18"/>
    </w:rPr>
  </w:style>
  <w:style w:type="paragraph" w:customStyle="1" w:styleId="114">
    <w:name w:val="四级无"/>
    <w:basedOn w:val="51"/>
    <w:qFormat/>
    <w:uiPriority w:val="0"/>
    <w:pPr>
      <w:spacing w:beforeLines="0" w:afterLines="0"/>
    </w:pPr>
    <w:rPr>
      <w:rFonts w:ascii="宋体" w:eastAsia="宋体"/>
    </w:rPr>
  </w:style>
  <w:style w:type="paragraph" w:customStyle="1" w:styleId="115">
    <w:name w:val="条文脚注"/>
    <w:basedOn w:val="22"/>
    <w:uiPriority w:val="0"/>
    <w:pPr>
      <w:numPr>
        <w:numId w:val="0"/>
      </w:numPr>
      <w:jc w:val="both"/>
    </w:pPr>
  </w:style>
  <w:style w:type="paragraph" w:customStyle="1" w:styleId="116">
    <w:name w:val="图标脚注说明"/>
    <w:basedOn w:val="21"/>
    <w:qFormat/>
    <w:uiPriority w:val="0"/>
    <w:pPr>
      <w:ind w:left="840" w:hanging="420" w:firstLineChars="0"/>
    </w:pPr>
    <w:rPr>
      <w:sz w:val="18"/>
      <w:szCs w:val="18"/>
    </w:rPr>
  </w:style>
  <w:style w:type="paragraph" w:customStyle="1" w:styleId="117">
    <w:name w:val="图表脚注说明"/>
    <w:basedOn w:val="1"/>
    <w:uiPriority w:val="0"/>
    <w:pPr>
      <w:numPr>
        <w:ilvl w:val="0"/>
        <w:numId w:val="15"/>
      </w:numPr>
    </w:pPr>
    <w:rPr>
      <w:rFonts w:ascii="宋体"/>
      <w:sz w:val="18"/>
      <w:szCs w:val="18"/>
    </w:rPr>
  </w:style>
  <w:style w:type="paragraph" w:customStyle="1" w:styleId="118">
    <w:name w:val="图的脚注"/>
    <w:next w:val="21"/>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19">
    <w:name w:val="文献分类号"/>
    <w:qFormat/>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120">
    <w:name w:val="五级无"/>
    <w:basedOn w:val="52"/>
    <w:qFormat/>
    <w:uiPriority w:val="0"/>
    <w:pPr>
      <w:spacing w:beforeLines="0" w:afterLines="0"/>
    </w:pPr>
    <w:rPr>
      <w:rFonts w:ascii="宋体" w:eastAsia="宋体"/>
    </w:rPr>
  </w:style>
  <w:style w:type="paragraph" w:customStyle="1" w:styleId="121">
    <w:name w:val="一级无"/>
    <w:basedOn w:val="38"/>
    <w:qFormat/>
    <w:uiPriority w:val="0"/>
    <w:pPr>
      <w:spacing w:beforeLines="0" w:afterLines="0"/>
    </w:pPr>
    <w:rPr>
      <w:rFonts w:ascii="宋体" w:eastAsia="宋体"/>
    </w:rPr>
  </w:style>
  <w:style w:type="paragraph" w:customStyle="1" w:styleId="122">
    <w:name w:val="正文表标题"/>
    <w:next w:val="21"/>
    <w:qFormat/>
    <w:uiPriority w:val="0"/>
    <w:pPr>
      <w:numPr>
        <w:ilvl w:val="0"/>
        <w:numId w:val="16"/>
      </w:numPr>
      <w:spacing w:beforeLines="50" w:afterLines="50"/>
      <w:jc w:val="center"/>
    </w:pPr>
    <w:rPr>
      <w:rFonts w:ascii="黑体" w:hAnsi="Times New Roman" w:eastAsia="黑体" w:cs="Times New Roman"/>
      <w:sz w:val="21"/>
      <w:lang w:val="en-US" w:eastAsia="zh-CN" w:bidi="ar-SA"/>
    </w:rPr>
  </w:style>
  <w:style w:type="paragraph" w:customStyle="1" w:styleId="123">
    <w:name w:val="正文公式编号制表符"/>
    <w:basedOn w:val="21"/>
    <w:next w:val="21"/>
    <w:qFormat/>
    <w:uiPriority w:val="0"/>
    <w:pPr>
      <w:ind w:firstLine="0" w:firstLineChars="0"/>
    </w:pPr>
  </w:style>
  <w:style w:type="paragraph" w:customStyle="1" w:styleId="124">
    <w:name w:val="正文图标题"/>
    <w:next w:val="21"/>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25">
    <w:name w:val="终结线"/>
    <w:basedOn w:val="1"/>
    <w:qFormat/>
    <w:uiPriority w:val="0"/>
    <w:pPr>
      <w:framePr w:hSpace="181" w:vSpace="181" w:wrap="around" w:vAnchor="text" w:hAnchor="margin" w:xAlign="center" w:y="285"/>
    </w:pPr>
  </w:style>
  <w:style w:type="paragraph" w:customStyle="1" w:styleId="126">
    <w:name w:val="其他发布日期"/>
    <w:qFormat/>
    <w:uiPriority w:val="0"/>
    <w:pPr>
      <w:framePr w:w="3997" w:h="471" w:hRule="exact" w:vSpace="181" w:wrap="around" w:vAnchor="page" w:hAnchor="page" w:x="1419" w:y="14097" w:anchorLock="1"/>
    </w:pPr>
    <w:rPr>
      <w:rFonts w:ascii="Times New Roman" w:hAnsi="Times New Roman" w:eastAsia="黑体" w:cs="Times New Roman"/>
      <w:sz w:val="28"/>
      <w:lang w:val="en-US" w:eastAsia="zh-CN" w:bidi="ar-SA"/>
    </w:rPr>
  </w:style>
  <w:style w:type="paragraph" w:customStyle="1" w:styleId="127">
    <w:name w:val="其他实施日期"/>
    <w:basedOn w:val="110"/>
    <w:qFormat/>
    <w:uiPriority w:val="0"/>
  </w:style>
  <w:style w:type="paragraph" w:customStyle="1" w:styleId="128">
    <w:name w:val="封面标准名称2"/>
    <w:basedOn w:val="74"/>
    <w:qFormat/>
    <w:uiPriority w:val="0"/>
    <w:pPr>
      <w:framePr w:y="4469"/>
      <w:spacing w:beforeLines="630"/>
    </w:pPr>
  </w:style>
  <w:style w:type="paragraph" w:customStyle="1" w:styleId="129">
    <w:name w:val="封面标准英文名称2"/>
    <w:basedOn w:val="75"/>
    <w:qFormat/>
    <w:uiPriority w:val="0"/>
    <w:pPr>
      <w:framePr w:y="4469"/>
    </w:pPr>
  </w:style>
  <w:style w:type="paragraph" w:customStyle="1" w:styleId="130">
    <w:name w:val="封面一致性程度标识2"/>
    <w:basedOn w:val="76"/>
    <w:qFormat/>
    <w:uiPriority w:val="0"/>
    <w:pPr>
      <w:framePr w:y="4469"/>
    </w:pPr>
  </w:style>
  <w:style w:type="paragraph" w:customStyle="1" w:styleId="131">
    <w:name w:val="封面标准文稿类别2"/>
    <w:basedOn w:val="77"/>
    <w:qFormat/>
    <w:uiPriority w:val="0"/>
    <w:pPr>
      <w:framePr w:y="4469"/>
    </w:pPr>
  </w:style>
  <w:style w:type="paragraph" w:customStyle="1" w:styleId="132">
    <w:name w:val="封面标准文稿编辑信息2"/>
    <w:basedOn w:val="78"/>
    <w:qFormat/>
    <w:uiPriority w:val="0"/>
    <w:pPr>
      <w:framePr w:y="4469"/>
    </w:pPr>
  </w:style>
  <w:style w:type="paragraph" w:customStyle="1" w:styleId="133">
    <w:name w:val="标准名称"/>
    <w:basedOn w:val="46"/>
    <w:link w:val="136"/>
    <w:qFormat/>
    <w:uiPriority w:val="0"/>
  </w:style>
  <w:style w:type="character" w:styleId="134">
    <w:name w:val="Placeholder Text"/>
    <w:basedOn w:val="31"/>
    <w:semiHidden/>
    <w:uiPriority w:val="99"/>
    <w:rPr>
      <w:color w:val="808080"/>
    </w:rPr>
  </w:style>
  <w:style w:type="character" w:customStyle="1" w:styleId="135">
    <w:name w:val="目次、标准名称标题 Char"/>
    <w:basedOn w:val="31"/>
    <w:link w:val="46"/>
    <w:qFormat/>
    <w:uiPriority w:val="0"/>
    <w:rPr>
      <w:rFonts w:ascii="黑体" w:eastAsia="黑体"/>
      <w:sz w:val="32"/>
      <w:shd w:val="clear" w:color="FFFFFF" w:fill="FFFFFF"/>
    </w:rPr>
  </w:style>
  <w:style w:type="character" w:customStyle="1" w:styleId="136">
    <w:name w:val="标准名称 Char"/>
    <w:basedOn w:val="135"/>
    <w:link w:val="133"/>
    <w:qFormat/>
    <w:uiPriority w:val="0"/>
    <w:rPr>
      <w:rFonts w:ascii="黑体" w:eastAsia="黑体"/>
      <w:sz w:val="32"/>
      <w:shd w:val="clear" w:color="FFFFFF" w:fill="FFFFFF"/>
    </w:rPr>
  </w:style>
  <w:style w:type="character" w:customStyle="1" w:styleId="137">
    <w:name w:val="批注框文本 Char"/>
    <w:basedOn w:val="31"/>
    <w:link w:val="14"/>
    <w:uiPriority w:val="0"/>
    <w:rPr>
      <w:kern w:val="2"/>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Open/>
  </wne:docEvents>
  <wne:mcds>
    <wne:mcd wne:macroName="TEMPLATEPROJECT.MDLTDS.CHGNAME" wne:name="TemplateProject.MdlTds.ChgName" wne:bEncrypt="00" wne:cmg="56"/>
    <wne:mcd wne:macroName="TEMPLATEPROJECT.MDLTDS.DBTAG" wne:name="TemplateProject.MdlTds.DBTag" wne:bEncrypt="00" wne:cmg="56"/>
    <wne:mcd wne:macroName="TEMPLATEPROJECT.MDLTDS.DELBEOFOREMARKALL" wne:name="TemplateProject.MdlTds.DelBeoforeMarkAll" wne:bEncrypt="00" wne:cmg="56"/>
    <wne:mcd wne:macroName="TEMPLATEPROJECT.MDLTDS.DELETEDUPLICATEMENU" wne:name="TemplateProject.MdlTds.DeleteDuplicateMenu" wne:bEncrypt="00" wne:cmg="56"/>
    <wne:mcd wne:macroName="TEMPLATEPROJECT.MDLTDS.DELETEMENUBAR" wne:name="TemplateProject.MdlTds.DeleteMenuBar" wne:bEncrypt="00" wne:cmg="56"/>
    <wne:mcd wne:macroName="TEMPLATEPROJECT.MDLTDS.DELINDEXITEMS" wne:name="TemplateProject.MdlTds.DelIndexItems" wne:bEncrypt="00" wne:cmg="56"/>
    <wne:mcd wne:macroName="TEMPLATEPROJECT.MDLTDS.DESIGNINDEXTCS" wne:name="TemplateProject.MdlTds.DesignIndexTCS" wne:bEncrypt="00" wne:cmg="56"/>
    <wne:mcd wne:macroName="TEMPLATEPROJECT.MDLTDS.FIELDNULL" wne:name="TemplateProject.MdlTds.FieldNull" wne:bEncrypt="00" wne:cmg="56"/>
    <wne:mcd wne:macroName="TEMPLATEPROJECT.MDLTDS.FILESAVE" wne:name="TemplateProject.MdlTds.FileSave" wne:bEncrypt="00" wne:cmg="56"/>
    <wne:mcd wne:macroName="TEMPLATEPROJECT.MDLTDS.GBTAG" wne:name="TemplateProject.MdlTds.GBTag" wne:bEncrypt="00" wne:cmg="56"/>
    <wne:mcd wne:macroName="TEMPLATEPROJECT.MDLTDS.GETFMTYPE" wne:name="TemplateProject.MdlTds.GetFMType" wne:bEncrypt="00" wne:cmg="56"/>
    <wne:mcd wne:macroName="TEMPLATEPROJECT.MDLTDS.GETINDEXTITLEALL" wne:name="TemplateProject.MdlTds.GetIndexTitleAll" wne:bEncrypt="00" wne:cmg="56"/>
    <wne:mcd wne:macroName="TEMPLATEPROJECT.MDLTDS.GETINDEXTITLEBASEDONUNTITLE" wne:name="TemplateProject.MdlTds.GetIndexTitleBasedonUnTitle" wne:bEncrypt="00" wne:cmg="56"/>
    <wne:mcd wne:macroName="TEMPLATEPROJECT.MDLTDS.GETINDEXTITLESIGNLE" wne:name="TemplateProject.MdlTds.GetIndexTitleSignle" wne:bEncrypt="00" wne:cmg="56"/>
    <wne:mcd wne:macroName="TEMPLATEPROJECT.MDLTDS.GETSECNUM" wne:name="TemplateProject.MdlTds.GetSecNum" wne:bEncrypt="00" wne:cmg="56"/>
    <wne:mcd wne:macroName="TEMPLATEPROJECT.MDLTDS.HBTAG" wne:name="TemplateProject.MdlTds.HBTag" wne:bEncrypt="00" wne:cmg="56"/>
    <wne:mcd wne:macroName="TEMPLATEPROJECT.MDLTDS.INIDOCUMENT" wne:name="TemplateProject.MdlTds.IniDocument" wne:bEncrypt="00" wne:cmg="56"/>
    <wne:mcd wne:macroName="TEMPLATEPROJECT.MDLTDS.INSERTCHARACTER" wne:name="TemplateProject.MdlTds.InsertCharacter" wne:bEncrypt="00" wne:cmg="56"/>
    <wne:mcd wne:macroName="TEMPLATEPROJECT.MDLTDS.INSERTEQUATION" wne:name="TemplateProject.MdlTds.InsertEquation" wne:bEncrypt="00" wne:cmg="56"/>
    <wne:mcd wne:macroName="TEMPLATEPROJECT.MDLTDS.INSERTEQUATIONNUM" wne:name="TemplateProject.MdlTds.InsertEquationNum" wne:bEncrypt="00" wne:cmg="56"/>
    <wne:mcd wne:macroName="TEMPLATEPROJECT.MDLTDS.INSERTEXAMPLE" wne:name="TemplateProject.MdlTds.InsertExample" wne:bEncrypt="00" wne:cmg="56"/>
    <wne:mcd wne:macroName="TEMPLATEPROJECT.MDLTDS.INSERTEXAMPLECONTENT" wne:name="TemplateProject.MdlTds.InsertExampleContent" wne:bEncrypt="00" wne:cmg="56"/>
    <wne:mcd wne:macroName="TEMPLATEPROJECT.MDLTDS.INSERTFIFTHTTITLE" wne:name="TemplateProject.MdlTds.InsertFifthTTitle" wne:bEncrypt="00" wne:cmg="56"/>
    <wne:mcd wne:macroName="TEMPLATEPROJECT.MDLTDS.INSERTFIFTITLE" wne:name="TemplateProject.MdlTds.InsertFifTitle" wne:bEncrypt="00" wne:cmg="56"/>
    <wne:mcd wne:macroName="TEMPLATEPROJECT.MDLTDS.INSERTFIGTBLFIRFOOTER" wne:name="TemplateProject.MdlTds.InsertFigTblFirFooter" wne:bEncrypt="00" wne:cmg="56"/>
    <wne:mcd wne:macroName="TEMPLATEPROJECT.MDLTDS.INSERTFIGTBLFIRNOTE" wne:name="TemplateProject.MdlTds.InsertFigTblFirNote" wne:bEncrypt="00" wne:cmg="56"/>
    <wne:mcd wne:macroName="TEMPLATEPROJECT.MDLTDS.INSERTFIGTBLFOOTER" wne:name="TemplateProject.MdlTds.InsertFigTblFooter" wne:bEncrypt="00" wne:cmg="56"/>
    <wne:mcd wne:macroName="TEMPLATEPROJECT.MDLTDS.INSERTFIGTBLMULNOTE" wne:name="TemplateProject.MdlTds.InsertFigTblMulNote" wne:bEncrypt="00" wne:cmg="56"/>
    <wne:mcd wne:macroName="TEMPLATEPROJECT.MDLTDS.INSERTFIGTBLNOTE" wne:name="TemplateProject.MdlTds.InsertFigTblNote" wne:bEncrypt="00" wne:cmg="56"/>
    <wne:mcd wne:macroName="TEMPLATEPROJECT.MDLTDS.INSERTFIGTITLE" wne:name="TemplateProject.MdlTds.InsertFigTitle" wne:bEncrypt="00" wne:cmg="56"/>
    <wne:mcd wne:macroName="TEMPLATEPROJECT.MDLTDS.INSERTFIREXAMPLE" wne:name="TemplateProject.MdlTds.InsertFirExample" wne:bEncrypt="00" wne:cmg="56"/>
    <wne:mcd wne:macroName="TEMPLATEPROJECT.MDLTDS.INSERTFIRSTTTITLE" wne:name="TemplateProject.MdlTds.InsertFirstTTitle" wne:bEncrypt="00" wne:cmg="56"/>
    <wne:mcd wne:macroName="TEMPLATEPROJECT.MDLTDS.INSERTFIRTITLE" wne:name="TemplateProject.MdlTds.InsertFirTitle" wne:bEncrypt="00" wne:cmg="56"/>
    <wne:mcd wne:macroName="TEMPLATEPROJECT.MDLTDS.INSERTFLBS" wne:name="TemplateProject.MdlTds.InsertFlBs" wne:bEncrypt="00" wne:cmg="56"/>
    <wne:mcd wne:macroName="TEMPLATEPROJECT.MDLTDS.INSERTFLBTITLE" wne:name="TemplateProject.MdlTds.InsertFlBTitle" wne:bEncrypt="00" wne:cmg="56"/>
    <wne:mcd wne:macroName="TEMPLATEPROJECT.MDLTDS.INSERTFLEQUATIONNUM" wne:name="TemplateProject.MdlTds.InsertFLEquationNum" wne:bEncrypt="00" wne:cmg="56"/>
    <wne:mcd wne:macroName="TEMPLATEPROJECT.MDLTDS.INSERTFLPTITLE" wne:name="TemplateProject.MdlTds.InsertFlPTitle" wne:bEncrypt="00" wne:cmg="56"/>
    <wne:mcd wne:macroName="TEMPLATEPROJECT.MDLTDS.INSERTFLTTITLE1" wne:name="TemplateProject.MdlTds.InsertFlTTitle1" wne:bEncrypt="00" wne:cmg="56"/>
    <wne:mcd wne:macroName="TEMPLATEPROJECT.MDLTDS.INSERTFLTTITLE2" wne:name="TemplateProject.MdlTds.InsertFlTTitle2" wne:bEncrypt="00" wne:cmg="56"/>
    <wne:mcd wne:macroName="TEMPLATEPROJECT.MDLTDS.INSERTFLTTITLE3" wne:name="TemplateProject.MdlTds.InsertFlTTitle3" wne:bEncrypt="00" wne:cmg="56"/>
    <wne:mcd wne:macroName="TEMPLATEPROJECT.MDLTDS.INSERTFLTTITLE4" wne:name="TemplateProject.MdlTds.InsertFlTTitle4" wne:bEncrypt="00" wne:cmg="56"/>
    <wne:mcd wne:macroName="TEMPLATEPROJECT.MDLTDS.INSERTFLTTITLE5" wne:name="TemplateProject.MdlTds.InsertFlTTitle5" wne:bEncrypt="00" wne:cmg="56"/>
    <wne:mcd wne:macroName="TEMPLATEPROJECT.MDLTDS.INSERTFLZTITLE" wne:name="TemplateProject.MdlTds.InsertFlZTitle" wne:bEncrypt="00" wne:cmg="56"/>
    <wne:mcd wne:macroName="TEMPLATEPROJECT.MDLTDS.INSERTFM" wne:name="TemplateProject.MdlTds.InsertFM" wne:bEncrypt="00" wne:cmg="56"/>
    <wne:mcd wne:macroName="TEMPLATEPROJECT.MDLTDS.INSERTFOOTER" wne:name="TemplateProject.MdlTds.InsertFooter" wne:bEncrypt="00" wne:cmg="56"/>
    <wne:mcd wne:macroName="TEMPLATEPROJECT.MDLTDS.INSERTFORTHTTITLE" wne:name="TemplateProject.MdlTds.InsertForthTTitle" wne:bEncrypt="00" wne:cmg="56"/>
    <wne:mcd wne:macroName="TEMPLATEPROJECT.MDLTDS.INSERTFORTITLE" wne:name="TemplateProject.MdlTds.InsertForTitle" wne:bEncrypt="00" wne:cmg="56"/>
    <wne:mcd wne:macroName="TEMPLATEPROJECT.MDLTDS.INSERTGT" wne:name="TemplateProject.MdlTds.InsertGT" wne:bEncrypt="00" wne:cmg="56"/>
    <wne:mcd wne:macroName="TEMPLATEPROJECT.MDLTDS.INSERTINDEXPAGE" wne:name="TemplateProject.MdlTds.InsertIndexPage" wne:bEncrypt="00" wne:cmg="56"/>
    <wne:mcd wne:macroName="TEMPLATEPROJECT.MDLTDS.INSERTLX1" wne:name="TemplateProject.MdlTds.InsertLx1" wne:bEncrypt="00" wne:cmg="56"/>
    <wne:mcd wne:macroName="TEMPLATEPROJECT.MDLTDS.INSERTLX2" wne:name="TemplateProject.MdlTds.InsertLx2" wne:bEncrypt="00" wne:cmg="56"/>
    <wne:mcd wne:macroName="TEMPLATEPROJECT.MDLTDS.INSERTLX3" wne:name="TemplateProject.MdlTds.InsertLx3" wne:bEncrypt="00" wne:cmg="56"/>
    <wne:mcd wne:macroName="TEMPLATEPROJECT.MDLTDS.INSERTLX4" wne:name="TemplateProject.MdlTds.InsertLx4" wne:bEncrypt="00" wne:cmg="56"/>
    <wne:mcd wne:macroName="TEMPLATEPROJECT.MDLTDS.INSERTLX41" wne:name="TemplateProject.MdlTds.InsertLx41" wne:bEncrypt="00" wne:cmg="56"/>
    <wne:mcd wne:macroName="TEMPLATEPROJECT.MDLTDS.INSERTLX5" wne:name="TemplateProject.MdlTds.InsertLx5" wne:bEncrypt="00" wne:cmg="56"/>
    <wne:mcd wne:macroName="TEMPLATEPROJECT.MDLTDS.INSERTLX6" wne:name="TemplateProject.MdlTds.InsertLx6" wne:bEncrypt="00" wne:cmg="56"/>
    <wne:mcd wne:macroName="TEMPLATEPROJECT.MDLTDS.INSERTMENU" wne:name="TemplateProject.MdlTds.InsertMenu" wne:bEncrypt="00" wne:cmg="56"/>
    <wne:mcd wne:macroName="TEMPLATEPROJECT.MDLTDS.INSERTMENUBAR" wne:name="TemplateProject.MdlTds.InsertMenuBar" wne:bEncrypt="00" wne:cmg="56"/>
    <wne:mcd wne:macroName="TEMPLATEPROJECT.MDLTDS.INSERTMULEXAMPLE" wne:name="TemplateProject.MdlTds.InsertMulExample" wne:bEncrypt="00" wne:cmg="56"/>
    <wne:mcd wne:macroName="TEMPLATEPROJECT.MDLTDS.INSERTPARAGRAPH" wne:name="TemplateProject.MdlTds.InsertParagraph" wne:bEncrypt="00" wne:cmg="56"/>
    <wne:mcd wne:macroName="TEMPLATEPROJECT.MDLTDS.INSERTPJ" wne:name="TemplateProject.MdlTds.InsertPJ" wne:bEncrypt="00" wne:cmg="56"/>
    <wne:mcd wne:macroName="TEMPLATEPROJECT.MDLTDS.INSERTREFERENCES" wne:name="TemplateProject.MdlTds.InsertReferences" wne:bEncrypt="00" wne:cmg="56"/>
    <wne:mcd wne:macroName="TEMPLATEPROJECT.MDLTDS.INSERTSECONDTTITLE" wne:name="TemplateProject.MdlTds.InsertSecondTTitle" wne:bEncrypt="00" wne:cmg="56"/>
    <wne:mcd wne:macroName="TEMPLATEPROJECT.MDLTDS.INSERTSECTITLE" wne:name="TemplateProject.MdlTds.InsertSecTitle" wne:bEncrypt="00" wne:cmg="56"/>
    <wne:mcd wne:macroName="TEMPLATEPROJECT.MDLTDS.INSERTSY1" wne:name="TemplateProject.MdlTds.InsertSy1" wne:bEncrypt="00" wne:cmg="56"/>
    <wne:mcd wne:macroName="TEMPLATEPROJECT.MDLTDS.INSERTSY2" wne:name="TemplateProject.MdlTds.InsertSy2" wne:bEncrypt="00" wne:cmg="56"/>
    <wne:mcd wne:macroName="TEMPLATEPROJECT.MDLTDS.INSERTSY3" wne:name="TemplateProject.MdlTds.InsertSy3" wne:bEncrypt="00" wne:cmg="56"/>
    <wne:mcd wne:macroName="TEMPLATEPROJECT.MDLTDS.INSERTSY4" wne:name="TemplateProject.MdlTds.InsertSy4" wne:bEncrypt="00" wne:cmg="56"/>
    <wne:mcd wne:macroName="TEMPLATEPROJECT.MDLTDS.INSERTSY5" wne:name="TemplateProject.MdlTds.InsertSy5" wne:bEncrypt="00" wne:cmg="56"/>
    <wne:mcd wne:macroName="TEMPLATEPROJECT.MDLTDS.INSERTSY6" wne:name="TemplateProject.MdlTds.InsertSy6" wne:bEncrypt="00" wne:cmg="56"/>
    <wne:mcd wne:macroName="TEMPLATEPROJECT.MDLTDS.INSERTSY7" wne:name="TemplateProject.MdlTds.InsertSy7" wne:bEncrypt="00" wne:cmg="56"/>
    <wne:mcd wne:macroName="TEMPLATEPROJECT.MDLTDS.INSERTSY8" wne:name="TemplateProject.MdlTds.InsertSy8" wne:bEncrypt="00" wne:cmg="56"/>
    <wne:mcd wne:macroName="TEMPLATEPROJECT.MDLTDS.INSERTSY9" wne:name="TemplateProject.MdlTds.InsertSy9" wne:bEncrypt="00" wne:cmg="56"/>
    <wne:mcd wne:macroName="TEMPLATEPROJECT.MDLTDS.INSERTTAB" wne:name="TemplateProject.MdlTds.InsertTab" wne:bEncrypt="00" wne:cmg="56"/>
    <wne:mcd wne:macroName="TEMPLATEPROJECT.MDLTDS.INSERTTABLE" wne:name="TemplateProject.MdlTds.InsertTable" wne:bEncrypt="00" wne:cmg="56"/>
    <wne:mcd wne:macroName="TEMPLATEPROJECT.MDLTDS.INSERTTBJZ" wne:name="TemplateProject.MdlTds.InsertTBJz" wne:bEncrypt="00" wne:cmg="56"/>
    <wne:mcd wne:macroName="TEMPLATEPROJECT.MDLTDS.INSERTTBLTITLE" wne:name="TemplateProject.MdlTds.InsertTblTitle" wne:bEncrypt="00" wne:cmg="56"/>
    <wne:mcd wne:macroName="TEMPLATEPROJECT.MDLTDS.INSERTTCSINDEX" wne:name="TemplateProject.MdlTds.InsertTCSIndex" wne:bEncrypt="00" wne:cmg="56"/>
    <wne:mcd wne:macroName="TEMPLATEPROJECT.MDLTDS.INSERTTEXTFIRNOTE" wne:name="TemplateProject.MdlTds.InsertTextFirNote" wne:bEncrypt="00" wne:cmg="56"/>
    <wne:mcd wne:macroName="TEMPLATEPROJECT.MDLTDS.INSERTTEXTMULNOTE" wne:name="TemplateProject.MdlTds.InsertTextMulNote" wne:bEncrypt="00" wne:cmg="56"/>
    <wne:mcd wne:macroName="TEMPLATEPROJECT.MDLTDS.INSERTTEXTNOTE" wne:name="TemplateProject.MdlTds.InsertTextNote" wne:bEncrypt="00" wne:cmg="56"/>
    <wne:mcd wne:macroName="TEMPLATEPROJECT.MDLTDS.INSERTTHIRDTTITLE" wne:name="TemplateProject.MdlTds.InsertThirdTTitle" wne:bEncrypt="00" wne:cmg="56"/>
    <wne:mcd wne:macroName="TEMPLATEPROJECT.MDLTDS.INSERTTHITITLE" wne:name="TemplateProject.MdlTds.InsertThiTitle" wne:bEncrypt="00" wne:cmg="56"/>
    <wne:mcd wne:macroName="TEMPLATEPROJECT.MDLTDS.INSERTTJ" wne:name="TemplateProject.MdlTds.InsertTJ" wne:bEncrypt="00" wne:cmg="56"/>
    <wne:mcd wne:macroName="TEMPLATEPROJECT.MDLTDS.INSERTTWJZ" wne:name="TemplateProject.MdlTds.InsertTWJz" wne:bEncrypt="00" wne:cmg="56"/>
    <wne:mcd wne:macroName="TEMPLATEPROJECT.MDLTDS.INSERTZTITLE" wne:name="TemplateProject.MdlTds.InsertZTitle" wne:bEncrypt="00" wne:cmg="56"/>
    <wne:mcd wne:macroName="TEMPLATEPROJECT.MDLTDS.MARKINDEXITEMS" wne:name="TemplateProject.MdlTds.MarkIndexItems" wne:bEncrypt="00" wne:cmg="56"/>
    <wne:mcd wne:macroName="TEMPLATEPROJECT.MDLTDS.PRCCURFLD" wne:name="TemplateProject.MdlTds.prcCurFld" wne:bEncrypt="00" wne:cmg="56"/>
    <wne:mcd wne:macroName="TEMPLATEPROJECT.MDLTDS.PRCORIFLD" wne:name="TemplateProject.MdlTds.prcOriFld" wne:bEncrypt="00" wne:cmg="56"/>
    <wne:mcd wne:macroName="TEMPLATEPROJECT.MDLTDS.PRCTTCS" wne:name="TemplateProject.MdlTds.PrctTCS" wne:bEncrypt="00" wne:cmg="56"/>
    <wne:mcd wne:macroName="TEMPLATEPROJECT.MDLTDS.PRINTPREVIEWTCS" wne:name="TemplateProject.MdlTds.PrintPreviewTCS" wne:bEncrypt="00" wne:cmg="56"/>
    <wne:mcd wne:macroName="TEMPLATEPROJECT.MDLTDS.PROCESSEDIT" wne:name="TemplateProject.MdlTds.ProcessEdit" wne:bEncrypt="00" wne:cmg="56"/>
    <wne:mcd wne:macroName="TEMPLATEPROJECT.MDLTDS.PROCESSFONTPAGE" wne:name="TemplateProject.MdlTds.ProcessFontPage" wne:bEncrypt="00" wne:cmg="56"/>
    <wne:mcd wne:macroName="TEMPLATEPROJECT.MDLTDS.PROCESSINDEXFORMAT" wne:name="TemplateProject.MdlTds.ProcessIndexFormat" wne:bEncrypt="00" wne:cmg="56"/>
    <wne:mcd wne:macroName="TEMPLATEPROJECT.MDLTDS.PROCESSONEPAGEHEADER" wne:name="TemplateProject.MdlTds.ProcessOnePageHeader" wne:bEncrypt="00" wne:cmg="56"/>
    <wne:mcd wne:macroName="TEMPLATEPROJECT.MDLTDS.PROCESSPRINT" wne:name="TemplateProject.MdlTds.ProcessPrint" wne:bEncrypt="00" wne:cmg="56"/>
    <wne:mcd wne:macroName="TEMPLATEPROJECT.MDLTDS.PROCESSTWOPAGEHEADER" wne:name="TemplateProject.MdlTds.ProcessTwoPageHeader" wne:bEncrypt="00" wne:cmg="56"/>
    <wne:mcd wne:macroName="TEMPLATEPROJECT.MDLTDS.PROCGBHB" wne:name="TemplateProject.MdlTds.procGBHB" wne:bEncrypt="00" wne:cmg="56"/>
    <wne:mcd wne:macroName="TEMPLATEPROJECT.MDLTDS.PROGENTRY" wne:name="TemplateProject.MdlTds.ProgEntry" wne:bEncrypt="00" wne:cmg="56"/>
    <wne:mcd wne:macroName="TEMPLATEPROJECT.MDLTDS.QBTAG" wne:name="TemplateProject.MdlTds.QBTag" wne:bEncrypt="00" wne:cmg="56"/>
    <wne:mcd wne:macroName="TEMPLATEPROJECT.MDLTDS.RESORTINDEXBYASCEND" wne:name="TemplateProject.MdlTds.ReSortIndexByAscend" wne:bEncrypt="00" wne:cmg="56"/>
    <wne:mcd wne:macroName="TEMPLATEPROJECT.MDLTDS.SAVEASDOC" wne:name="TemplateProject.MdlTds.SaveAsDoc" wne:bEncrypt="00" wne:cmg="56"/>
    <wne:mcd wne:macroName="TEMPLATEPROJECT.MDLTDS.SHOWFRMDELINDEX" wne:name="TemplateProject.MdlTds.ShowfrmDelIndex" wne:bEncrypt="00" wne:cmg="56"/>
    <wne:mcd wne:macroName="TEMPLATEPROJECT.MDLTDS.SHOWFRMMARKINDEX" wne:name="TemplateProject.MdlTds.ShowfrmMarkIndex" wne:bEncrypt="00" wne:cmg="56"/>
    <wne:mcd wne:macroName="TEMPLATEPROJECT.MDLTDS.SHOWHELP1" wne:name="TemplateProject.MdlTds.ShowHelp1" wne:bEncrypt="00" wne:cmg="56"/>
    <wne:mcd wne:macroName="TEMPLATEPROJECT.MDLTDS.SHOWHELP10" wne:name="TemplateProject.MdlTds.ShowHelp10" wne:bEncrypt="00" wne:cmg="56"/>
    <wne:mcd wne:macroName="TEMPLATEPROJECT.MDLTDS.SHOWHELP11" wne:name="TemplateProject.MdlTds.ShowHelp11" wne:bEncrypt="00" wne:cmg="56"/>
    <wne:mcd wne:macroName="TEMPLATEPROJECT.MDLTDS.SHOWHELP12" wne:name="TemplateProject.MdlTds.ShowHelp12" wne:bEncrypt="00" wne:cmg="56"/>
    <wne:mcd wne:macroName="TEMPLATEPROJECT.MDLTDS.SHOWHELP13" wne:name="TemplateProject.MdlTds.ShowHelp13" wne:bEncrypt="00" wne:cmg="56"/>
    <wne:mcd wne:macroName="TEMPLATEPROJECT.MDLTDS.SHOWHELP14" wne:name="TemplateProject.MdlTds.ShowHelp14" wne:bEncrypt="00" wne:cmg="56"/>
    <wne:mcd wne:macroName="TEMPLATEPROJECT.MDLTDS.SHOWHELP15" wne:name="TemplateProject.MdlTds.ShowHelp15" wne:bEncrypt="00" wne:cmg="56"/>
    <wne:mcd wne:macroName="TEMPLATEPROJECT.MDLTDS.SHOWHELP16" wne:name="TemplateProject.MdlTds.ShowHelp16" wne:bEncrypt="00" wne:cmg="56"/>
    <wne:mcd wne:macroName="TEMPLATEPROJECT.MDLTDS.SHOWHELP17" wne:name="TemplateProject.MdlTds.ShowHelp17" wne:bEncrypt="00" wne:cmg="56"/>
    <wne:mcd wne:macroName="TEMPLATEPROJECT.MDLTDS.SHOWHELP18" wne:name="TemplateProject.MdlTds.ShowHelp18" wne:bEncrypt="00" wne:cmg="56"/>
    <wne:mcd wne:macroName="TEMPLATEPROJECT.MDLTDS.SHOWHELP2" wne:name="TemplateProject.MdlTds.ShowHelp2" wne:bEncrypt="00" wne:cmg="56"/>
    <wne:mcd wne:macroName="TEMPLATEPROJECT.MDLTDS.SHOWHELP3" wne:name="TemplateProject.MdlTds.ShowHelp3" wne:bEncrypt="00" wne:cmg="56"/>
    <wne:mcd wne:macroName="TEMPLATEPROJECT.MDLTDS.SHOWHELP4" wne:name="TemplateProject.MdlTds.ShowHelp4" wne:bEncrypt="00" wne:cmg="56"/>
    <wne:mcd wne:macroName="TEMPLATEPROJECT.MDLTDS.SHOWHELP5" wne:name="TemplateProject.MdlTds.ShowHelp5" wne:bEncrypt="00" wne:cmg="56"/>
    <wne:mcd wne:macroName="TEMPLATEPROJECT.MDLTDS.SHOWHELP6" wne:name="TemplateProject.MdlTds.ShowHelp6" wne:bEncrypt="00" wne:cmg="56"/>
    <wne:mcd wne:macroName="TEMPLATEPROJECT.MDLTDS.SHOWHELP7" wne:name="TemplateProject.MdlTds.ShowHelp7" wne:bEncrypt="00" wne:cmg="56"/>
    <wne:mcd wne:macroName="TEMPLATEPROJECT.MDLTDS.SHOWHELP8" wne:name="TemplateProject.MdlTds.ShowHelp8" wne:bEncrypt="00" wne:cmg="56"/>
    <wne:mcd wne:macroName="TEMPLATEPROJECT.MDLTDS.SHOWHELP9" wne:name="TemplateProject.MdlTds.ShowHelp9" wne:bEncrypt="00" wne:cmg="56"/>
    <wne:mcd wne:macroName="TEMPLATEPROJECT.MDLTDS.TBTAG" wne:name="TemplateProject.MdlTds.TBTag" wne:bEncrypt="00" wne:cmg="56"/>
    <wne:mcd wne:macroName="TEMPLATEPROJECT.MDLTDS.UNPRCTTCS" wne:name="TemplateProject.MdlTds.UnPrctTCS" wne:bEncrypt="00" wne:cmg="56"/>
    <wne:mcd wne:macroName="TEMPLATEPROJECT.MDLTDS.UPDATEEQUATIONNUMTCS" wne:name="TemplateProject.MdlTds.UpdateEquationNumTCS" wne:bEncrypt="00" wne:cmg="56"/>
    <wne:mcd wne:macroName="TEMPLATEPROJECT.MDLTDS.UPDATEFIELDTCS" wne:name="TemplateProject.MdlTds.UpdateFieldTCS" wne:bEncrypt="00" wne:cmg="56"/>
    <wne:mcd wne:macroName="TEMPLATEPROJECT.REGISTERCHECK.CHECKONLINE" wne:name="TemplateProject.RegisterCheck.CheckOnline" wne:bEncrypt="00" wne:cmg="56"/>
    <wne:mcd wne:macroName="TEMPLATEPROJECT.REGISTERCHECK.CHECKREGISTER" wne:name="TemplateProject.RegisterCheck.CheckRegister" wne:bEncrypt="00" wne:cmg="56"/>
    <wne:mcd wne:macroName="TEMPLATEPROJECT.REGISTERCHECK.NETWORKFUNCTION" wne:name="TemplateProject.RegisterCheck.NetworkFunction" wne:bEncrypt="00" wne:cmg="56"/>
    <wne:mcd wne:macroName="TEMPLATEPROJECT.SAVEFILEDIALOG.TSGETFILEFROMUSER" wne:name="TemplateProject.SaveFileDialog.tsGetFileFromUser" wne:bEncrypt="00" wne:cmg="56"/>
    <wne:mcd wne:macroName="TEMPLATEPROJECT.SAVEFILEDIALOG.TSGETFILEFROMUSERTEST" wne:name="TemplateProject.SaveFileDialog.tsGetFileFromUserTest" wne:bEncrypt="00" wne:cmg="56"/>
  </wne:mcds>
</wne:vbaSuppData>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microsoft.com/office/2006/relationships/keyMapCustomizations" Target="customizations.xml"/><Relationship Id="rId10" Type="http://schemas.microsoft.com/office/2006/relationships/vbaProject" Target="vbaProject.bin"/><Relationship Id="rId1" Type="http://schemas.openxmlformats.org/officeDocument/2006/relationships/styles" Target="styl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11"/>
        <w:style w:val=""/>
        <w:category>
          <w:name w:val="常规"/>
          <w:gallery w:val="placeholder"/>
        </w:category>
        <w:types>
          <w:type w:val="bbPlcHdr"/>
        </w:types>
        <w:behaviors>
          <w:behavior w:val="content"/>
        </w:behaviors>
        <w:description w:val=""/>
        <w:guid w:val="{028989F2-0355-49D4-BDA6-4D56B5D374C0}"/>
      </w:docPartPr>
      <w:docPartBody>
        <w:p>
          <w:pPr>
            <w:pStyle w:val="7"/>
          </w:pPr>
          <w:r>
            <w:rPr>
              <w:rStyle w:val="4"/>
              <w:rFonts w:hint="eastAsia"/>
            </w:rPr>
            <w:t>标准名称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13A"/>
    <w:rsid w:val="0002647A"/>
    <w:rsid w:val="0002653F"/>
    <w:rsid w:val="00080DE3"/>
    <w:rsid w:val="00087E40"/>
    <w:rsid w:val="000C73CF"/>
    <w:rsid w:val="001132F9"/>
    <w:rsid w:val="00114ABC"/>
    <w:rsid w:val="001C16E0"/>
    <w:rsid w:val="002068C7"/>
    <w:rsid w:val="00323E80"/>
    <w:rsid w:val="003372E5"/>
    <w:rsid w:val="003750AF"/>
    <w:rsid w:val="00430F92"/>
    <w:rsid w:val="004F113A"/>
    <w:rsid w:val="004F1EC5"/>
    <w:rsid w:val="00515A81"/>
    <w:rsid w:val="005335DD"/>
    <w:rsid w:val="00595E09"/>
    <w:rsid w:val="00674FBA"/>
    <w:rsid w:val="006D02E4"/>
    <w:rsid w:val="007216E9"/>
    <w:rsid w:val="007C6ACB"/>
    <w:rsid w:val="007E2797"/>
    <w:rsid w:val="00800293"/>
    <w:rsid w:val="00820E7E"/>
    <w:rsid w:val="008E024D"/>
    <w:rsid w:val="008F0268"/>
    <w:rsid w:val="00902EF8"/>
    <w:rsid w:val="00982DAC"/>
    <w:rsid w:val="009B16B1"/>
    <w:rsid w:val="00A94E45"/>
    <w:rsid w:val="00AD6808"/>
    <w:rsid w:val="00B717AC"/>
    <w:rsid w:val="00BC67AA"/>
    <w:rsid w:val="00C875D2"/>
    <w:rsid w:val="00CB0B2B"/>
    <w:rsid w:val="00D4454B"/>
    <w:rsid w:val="00D65DD7"/>
    <w:rsid w:val="00DA4409"/>
    <w:rsid w:val="00E95A08"/>
    <w:rsid w:val="00EA15BD"/>
    <w:rsid w:val="00EA32AC"/>
    <w:rsid w:val="00F93653"/>
    <w:rsid w:val="00FF0B73"/>
    <w:rsid w:val="00FF0E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cs="Times New Roman" w:asciiTheme="minorHAnsi" w:hAnsiTheme="minorHAnsi" w:eastAsiaTheme="minorEastAsia"/>
      <w:kern w:val="2"/>
      <w:sz w:val="3276"/>
      <w:szCs w:val="3276"/>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111"/>
    <w:qFormat/>
    <w:uiPriority w:val="0"/>
    <w:pPr>
      <w:widowControl w:val="0"/>
      <w:jc w:val="both"/>
    </w:pPr>
    <w:rPr>
      <w:rFonts w:cs="Times New Roman" w:asciiTheme="minorHAnsi" w:hAnsiTheme="minorHAnsi" w:eastAsiaTheme="minorEastAsia"/>
      <w:kern w:val="2"/>
      <w:sz w:val="3276"/>
      <w:szCs w:val="3276"/>
      <w:lang w:val="en-US" w:eastAsia="zh-CN" w:bidi="ar-SA"/>
    </w:rPr>
  </w:style>
  <w:style w:type="paragraph" w:customStyle="1" w:styleId="6">
    <w:name w:val="1111"/>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 w:type="paragraph" w:customStyle="1" w:styleId="7">
    <w:name w:val="1112"/>
    <w:uiPriority w:val="0"/>
    <w:pPr>
      <w:keepNext/>
      <w:pageBreakBefore/>
      <w:shd w:val="clear" w:color="FFFFFF" w:fill="FFFFFF"/>
      <w:spacing w:before="640" w:after="560" w:line="460" w:lineRule="exact"/>
      <w:jc w:val="center"/>
      <w:outlineLvl w:val="0"/>
    </w:pPr>
    <w:rPr>
      <w:rFonts w:ascii="黑体" w:hAnsi="Times New Roman" w:eastAsia="黑体" w:cs="Times New Roman"/>
      <w:kern w:val="0"/>
      <w:sz w:val="32"/>
      <w:szCs w:val="20"/>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农产品质量安全监测样品制备技术规程-规范性审查稿</Template>
  <Company>zle</Company>
  <Pages>9</Pages>
  <Words>2346</Words>
  <Characters>694</Characters>
  <Lines>5</Lines>
  <Paragraphs>6</Paragraphs>
  <TotalTime>57</TotalTime>
  <ScaleCrop>false</ScaleCrop>
  <LinksUpToDate>false</LinksUpToDate>
  <CharactersWithSpaces>3034</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2017-08-15T04:06:00Z</dcterms:created>
  <dc:creator>CNIS</dc:creator>
  <cp:lastModifiedBy>百思不得解</cp:lastModifiedBy>
  <dcterms:modified xsi:type="dcterms:W3CDTF">2020-03-17T08:22:23Z</dcterms:modified>
  <dc:title>标准名称</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